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FDC55" w14:textId="2A6C027E" w:rsidR="00687D54" w:rsidRDefault="00687D54">
      <w:pPr>
        <w:spacing w:line="276" w:lineRule="auto"/>
        <w:rPr>
          <w:rFonts w:ascii="Arial" w:eastAsia="Arial" w:hAnsi="Arial" w:cs="Arial"/>
          <w:b/>
          <w:sz w:val="18"/>
          <w:szCs w:val="18"/>
        </w:rPr>
      </w:pPr>
    </w:p>
    <w:p w14:paraId="58347109" w14:textId="77777777" w:rsidR="00687D54" w:rsidRDefault="00687D54">
      <w:pPr>
        <w:spacing w:line="276" w:lineRule="auto"/>
        <w:rPr>
          <w:rFonts w:ascii="Arial" w:eastAsia="Arial" w:hAnsi="Arial" w:cs="Arial"/>
          <w:b/>
          <w:sz w:val="18"/>
          <w:szCs w:val="18"/>
        </w:rPr>
      </w:pPr>
    </w:p>
    <w:p w14:paraId="6EE13D09" w14:textId="77777777" w:rsidR="00687D54" w:rsidRDefault="000064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b/>
          <w:color w:val="333333"/>
          <w:sz w:val="18"/>
          <w:szCs w:val="18"/>
        </w:rPr>
        <w:t>For Immediate Release</w:t>
      </w:r>
      <w:r>
        <w:rPr>
          <w:rFonts w:ascii="Arial" w:eastAsia="Arial" w:hAnsi="Arial" w:cs="Arial"/>
          <w:color w:val="333333"/>
          <w:sz w:val="18"/>
          <w:szCs w:val="18"/>
        </w:rPr>
        <w:br/>
      </w:r>
      <w:r>
        <w:rPr>
          <w:rFonts w:ascii="Arial" w:eastAsia="Arial" w:hAnsi="Arial" w:cs="Arial"/>
          <w:b/>
          <w:color w:val="333333"/>
          <w:sz w:val="18"/>
          <w:szCs w:val="18"/>
        </w:rPr>
        <w:t>CONTACT</w:t>
      </w:r>
      <w:r>
        <w:rPr>
          <w:rFonts w:ascii="Arial" w:eastAsia="Arial" w:hAnsi="Arial" w:cs="Arial"/>
          <w:color w:val="333333"/>
          <w:sz w:val="18"/>
          <w:szCs w:val="18"/>
        </w:rPr>
        <w:t> </w:t>
      </w:r>
      <w:r>
        <w:rPr>
          <w:rFonts w:ascii="Arial" w:eastAsia="Arial" w:hAnsi="Arial" w:cs="Arial"/>
          <w:color w:val="333333"/>
          <w:sz w:val="18"/>
          <w:szCs w:val="18"/>
        </w:rPr>
        <w:br/>
        <w:t>Tracy S. Weeks, Ph.D.</w:t>
      </w:r>
      <w:r>
        <w:rPr>
          <w:rFonts w:ascii="Arial" w:eastAsia="Arial" w:hAnsi="Arial" w:cs="Arial"/>
          <w:color w:val="333333"/>
          <w:sz w:val="18"/>
          <w:szCs w:val="18"/>
        </w:rPr>
        <w:br/>
        <w:t>Executive Director</w:t>
      </w:r>
      <w:r>
        <w:rPr>
          <w:rFonts w:ascii="Arial" w:eastAsia="Arial" w:hAnsi="Arial" w:cs="Arial"/>
          <w:color w:val="333333"/>
          <w:sz w:val="18"/>
          <w:szCs w:val="18"/>
        </w:rPr>
        <w:br/>
        <w:t>SETDA</w:t>
      </w:r>
      <w:r>
        <w:rPr>
          <w:rFonts w:ascii="Arial" w:eastAsia="Arial" w:hAnsi="Arial" w:cs="Arial"/>
          <w:color w:val="333333"/>
          <w:sz w:val="18"/>
          <w:szCs w:val="18"/>
        </w:rPr>
        <w:br/>
        <w:t>202-715-6636 x700</w:t>
      </w:r>
      <w:r>
        <w:rPr>
          <w:rFonts w:ascii="Arial" w:eastAsia="Arial" w:hAnsi="Arial" w:cs="Arial"/>
          <w:color w:val="333333"/>
          <w:sz w:val="18"/>
          <w:szCs w:val="18"/>
        </w:rPr>
        <w:br/>
      </w:r>
      <w:hyperlink r:id="rId7">
        <w:r>
          <w:rPr>
            <w:rFonts w:ascii="Arial" w:eastAsia="Arial" w:hAnsi="Arial" w:cs="Arial"/>
            <w:color w:val="17488A"/>
            <w:sz w:val="18"/>
            <w:szCs w:val="18"/>
            <w:u w:val="single"/>
          </w:rPr>
          <w:t>tweeks@setda.org</w:t>
        </w:r>
      </w:hyperlink>
    </w:p>
    <w:p w14:paraId="51EF6925" w14:textId="77777777" w:rsidR="00687D54" w:rsidRDefault="00687D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Arial" w:eastAsia="Arial" w:hAnsi="Arial" w:cs="Arial"/>
          <w:color w:val="333333"/>
          <w:sz w:val="18"/>
          <w:szCs w:val="18"/>
        </w:rPr>
      </w:pPr>
    </w:p>
    <w:p w14:paraId="68A1996A" w14:textId="77777777" w:rsidR="00687D54" w:rsidRDefault="000064A1">
      <w:pPr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333333"/>
          <w:sz w:val="18"/>
          <w:szCs w:val="18"/>
        </w:rPr>
      </w:pPr>
      <w:r>
        <w:rPr>
          <w:rFonts w:ascii="Arial" w:eastAsia="Arial" w:hAnsi="Arial" w:cs="Arial"/>
          <w:b/>
          <w:color w:val="333333"/>
          <w:sz w:val="18"/>
          <w:szCs w:val="18"/>
        </w:rPr>
        <w:t xml:space="preserve"> </w:t>
      </w:r>
    </w:p>
    <w:p w14:paraId="1A8763B5" w14:textId="77777777" w:rsidR="00687D54" w:rsidRDefault="000064A1">
      <w:pPr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333333"/>
          <w:sz w:val="18"/>
          <w:szCs w:val="18"/>
        </w:rPr>
      </w:pPr>
      <w:r>
        <w:rPr>
          <w:rFonts w:ascii="Arial" w:eastAsia="Arial" w:hAnsi="Arial" w:cs="Arial"/>
          <w:b/>
          <w:color w:val="333333"/>
          <w:sz w:val="18"/>
          <w:szCs w:val="18"/>
        </w:rPr>
        <w:t xml:space="preserve">SETDA Launches New Resource to Support K12 Interoperability  </w:t>
      </w:r>
    </w:p>
    <w:p w14:paraId="5708D551" w14:textId="77777777" w:rsidR="00687D54" w:rsidRDefault="000064A1">
      <w:pPr>
        <w:shd w:val="clear" w:color="auto" w:fill="FFFFFF"/>
        <w:spacing w:line="276" w:lineRule="auto"/>
        <w:jc w:val="center"/>
        <w:rPr>
          <w:rFonts w:ascii="Arial" w:eastAsia="Arial" w:hAnsi="Arial" w:cs="Arial"/>
          <w:i/>
          <w:color w:val="333333"/>
          <w:sz w:val="18"/>
          <w:szCs w:val="18"/>
        </w:rPr>
      </w:pPr>
      <w:hyperlink r:id="rId8">
        <w:r>
          <w:rPr>
            <w:rFonts w:ascii="Arial" w:eastAsia="Arial" w:hAnsi="Arial" w:cs="Arial"/>
            <w:i/>
            <w:color w:val="800080"/>
            <w:sz w:val="18"/>
            <w:szCs w:val="18"/>
            <w:u w:val="single"/>
          </w:rPr>
          <w:t>State Education Leadership for Interoperability: Leveraging Data for Academic Excellence</w:t>
        </w:r>
      </w:hyperlink>
      <w:r>
        <w:rPr>
          <w:rFonts w:ascii="Arial" w:eastAsia="Arial" w:hAnsi="Arial" w:cs="Arial"/>
          <w:i/>
          <w:color w:val="333333"/>
          <w:sz w:val="18"/>
          <w:szCs w:val="18"/>
        </w:rPr>
        <w:t>.</w:t>
      </w:r>
    </w:p>
    <w:p w14:paraId="08EC77F8" w14:textId="77777777" w:rsidR="00687D54" w:rsidRDefault="000064A1">
      <w:pPr>
        <w:shd w:val="clear" w:color="auto" w:fill="FFFFFF"/>
        <w:spacing w:line="276" w:lineRule="auto"/>
        <w:jc w:val="center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 xml:space="preserve"> </w:t>
      </w:r>
    </w:p>
    <w:p w14:paraId="72C31C03" w14:textId="77777777" w:rsidR="00687D54" w:rsidRDefault="000064A1">
      <w:pPr>
        <w:shd w:val="clear" w:color="auto" w:fill="FFFFFF"/>
        <w:spacing w:line="276" w:lineRule="auto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 xml:space="preserve">May 10, 2018 (Washington, D.C.) - SETDA, the principal membership association of the U.S. state and territorial digital learning leaders, today announced the release of a new report: </w:t>
      </w:r>
      <w:hyperlink r:id="rId9">
        <w:r>
          <w:rPr>
            <w:rFonts w:ascii="Arial" w:eastAsia="Arial" w:hAnsi="Arial" w:cs="Arial"/>
            <w:i/>
            <w:color w:val="800080"/>
            <w:sz w:val="18"/>
            <w:szCs w:val="18"/>
            <w:u w:val="single"/>
          </w:rPr>
          <w:t>State Education Leadership for Interoperability: Leveraging Data for Academic Excellence</w:t>
        </w:r>
      </w:hyperlink>
      <w:r>
        <w:rPr>
          <w:rFonts w:ascii="Arial" w:eastAsia="Arial" w:hAnsi="Arial" w:cs="Arial"/>
          <w:i/>
          <w:color w:val="333333"/>
          <w:sz w:val="18"/>
          <w:szCs w:val="18"/>
        </w:rPr>
        <w:t xml:space="preserve">. </w:t>
      </w:r>
      <w:r>
        <w:rPr>
          <w:rFonts w:ascii="Arial" w:eastAsia="Arial" w:hAnsi="Arial" w:cs="Arial"/>
          <w:color w:val="333333"/>
          <w:sz w:val="18"/>
          <w:szCs w:val="18"/>
        </w:rPr>
        <w:t>This report examines the current data interoperability efforts in nine states: Delaware, Georgia, Michigan, Nebraska, North Carolina, Oregon, Utah, Wiscon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sin, and Wyoming. </w:t>
      </w:r>
      <w:r>
        <w:rPr>
          <w:rFonts w:ascii="Arial" w:eastAsia="Arial" w:hAnsi="Arial" w:cs="Arial"/>
          <w:sz w:val="18"/>
          <w:szCs w:val="18"/>
        </w:rPr>
        <w:t>Throughout the report,</w:t>
      </w:r>
      <w:r>
        <w:rPr>
          <w:rFonts w:ascii="Arial" w:eastAsia="Arial" w:hAnsi="Arial" w:cs="Arial"/>
          <w:color w:val="FF990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states explore the successes and challenges in making interoperable solutions where data is seamlessly connected and readily available for </w:t>
      </w:r>
      <w:r>
        <w:rPr>
          <w:rFonts w:ascii="Arial" w:eastAsia="Arial" w:hAnsi="Arial" w:cs="Arial"/>
          <w:sz w:val="18"/>
          <w:szCs w:val="18"/>
        </w:rPr>
        <w:t>use by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 decision makers, teachers, parents, and students. This report include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s a set of use cases demonstrating how interoperability helps states and districts achieve student learning goals, as well as recommendations for states as they continue their work in this area. </w:t>
      </w:r>
    </w:p>
    <w:p w14:paraId="4216A4C3" w14:textId="77777777" w:rsidR="00687D54" w:rsidRDefault="00687D54">
      <w:pPr>
        <w:shd w:val="clear" w:color="auto" w:fill="FFFFFF"/>
        <w:spacing w:line="276" w:lineRule="auto"/>
        <w:rPr>
          <w:rFonts w:ascii="Arial" w:eastAsia="Arial" w:hAnsi="Arial" w:cs="Arial"/>
          <w:color w:val="333333"/>
          <w:sz w:val="18"/>
          <w:szCs w:val="18"/>
        </w:rPr>
      </w:pPr>
    </w:p>
    <w:p w14:paraId="79BBA879" w14:textId="0163F133" w:rsidR="00687D54" w:rsidRDefault="000064A1">
      <w:pPr>
        <w:shd w:val="clear" w:color="auto" w:fill="FFFFFF"/>
        <w:spacing w:line="276" w:lineRule="auto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>“SETDA members have been interested in the promise of inter</w:t>
      </w:r>
      <w:r>
        <w:rPr>
          <w:rFonts w:ascii="Arial" w:eastAsia="Arial" w:hAnsi="Arial" w:cs="Arial"/>
          <w:color w:val="333333"/>
          <w:sz w:val="18"/>
          <w:szCs w:val="18"/>
        </w:rPr>
        <w:t>operability for some time, and as we are seeing forward momentum in this area it is important that we equip our membership with thorough research</w:t>
      </w:r>
      <w:r w:rsidR="00996D26">
        <w:rPr>
          <w:rFonts w:ascii="Arial" w:eastAsia="Arial" w:hAnsi="Arial" w:cs="Arial"/>
          <w:color w:val="333333"/>
          <w:sz w:val="18"/>
          <w:szCs w:val="18"/>
        </w:rPr>
        <w:t>,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 so they have a full analysis of the landscape and can determine if this approach will serve educators and lear</w:t>
      </w:r>
      <w:r>
        <w:rPr>
          <w:rFonts w:ascii="Arial" w:eastAsia="Arial" w:hAnsi="Arial" w:cs="Arial"/>
          <w:color w:val="333333"/>
          <w:sz w:val="18"/>
          <w:szCs w:val="18"/>
        </w:rPr>
        <w:t>ners in</w:t>
      </w:r>
      <w:bookmarkStart w:id="0" w:name="_GoBack"/>
      <w:bookmarkEnd w:id="0"/>
      <w:r>
        <w:rPr>
          <w:rFonts w:ascii="Arial" w:eastAsia="Arial" w:hAnsi="Arial" w:cs="Arial"/>
          <w:color w:val="333333"/>
          <w:sz w:val="18"/>
          <w:szCs w:val="18"/>
        </w:rPr>
        <w:t xml:space="preserve"> their state,” said Tracy Weeks, executive director, SETDA. “Our recommendations focus on ways that state education leaders, through a collaborative approach, can have seamless access to data and support new learning models by applying interoperabil</w:t>
      </w:r>
      <w:r>
        <w:rPr>
          <w:rFonts w:ascii="Arial" w:eastAsia="Arial" w:hAnsi="Arial" w:cs="Arial"/>
          <w:color w:val="333333"/>
          <w:sz w:val="18"/>
          <w:szCs w:val="18"/>
        </w:rPr>
        <w:t>ity approaches. My hope is that this report will serve as a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 critical resource for our members and others in the sector.” </w:t>
      </w:r>
    </w:p>
    <w:p w14:paraId="2F3B2FC8" w14:textId="77777777" w:rsidR="00687D54" w:rsidRDefault="00687D54">
      <w:pPr>
        <w:shd w:val="clear" w:color="auto" w:fill="FFFFFF"/>
        <w:spacing w:line="276" w:lineRule="auto"/>
        <w:rPr>
          <w:rFonts w:ascii="Arial" w:eastAsia="Arial" w:hAnsi="Arial" w:cs="Arial"/>
          <w:color w:val="333333"/>
          <w:sz w:val="18"/>
          <w:szCs w:val="18"/>
        </w:rPr>
      </w:pPr>
    </w:p>
    <w:p w14:paraId="0CA4CF05" w14:textId="77777777" w:rsidR="00687D54" w:rsidRDefault="000064A1">
      <w:pPr>
        <w:shd w:val="clear" w:color="auto" w:fill="FFFFFF"/>
        <w:spacing w:line="276" w:lineRule="auto"/>
        <w:rPr>
          <w:rFonts w:ascii="Arial" w:eastAsia="Arial" w:hAnsi="Arial" w:cs="Arial"/>
          <w:b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 xml:space="preserve">The </w:t>
      </w:r>
      <w:hyperlink r:id="rId10">
        <w:r>
          <w:rPr>
            <w:rFonts w:ascii="Arial" w:eastAsia="Arial" w:hAnsi="Arial" w:cs="Arial"/>
            <w:color w:val="800080"/>
            <w:sz w:val="18"/>
            <w:szCs w:val="18"/>
            <w:u w:val="single"/>
          </w:rPr>
          <w:t>State Education Leadership for Interoperabi</w:t>
        </w:r>
        <w:r>
          <w:rPr>
            <w:rFonts w:ascii="Arial" w:eastAsia="Arial" w:hAnsi="Arial" w:cs="Arial"/>
            <w:color w:val="800080"/>
            <w:sz w:val="18"/>
            <w:szCs w:val="18"/>
            <w:u w:val="single"/>
          </w:rPr>
          <w:t>lity report</w:t>
        </w:r>
      </w:hyperlink>
      <w:r>
        <w:rPr>
          <w:rFonts w:ascii="Arial" w:eastAsia="Arial" w:hAnsi="Arial" w:cs="Arial"/>
          <w:color w:val="333333"/>
          <w:sz w:val="18"/>
          <w:szCs w:val="18"/>
        </w:rPr>
        <w:t xml:space="preserve"> was developed through the expertise and efforts of state leaders, private sector organizations, and non-profit organizations focused on interoperability. The report also provides background information and challenges that states face during imp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lementation, as well as an appendix that includes non-profit organizations supporting interoperability efforts, organizations developing common data standards, state drivers for interoperability, and state academic and interoperability goals. SETDA offers </w:t>
      </w:r>
      <w:r>
        <w:rPr>
          <w:rFonts w:ascii="Arial" w:eastAsia="Arial" w:hAnsi="Arial" w:cs="Arial"/>
          <w:color w:val="333333"/>
          <w:sz w:val="18"/>
          <w:szCs w:val="18"/>
        </w:rPr>
        <w:t>recommendations for states to consider regarding interoperability:</w:t>
      </w:r>
    </w:p>
    <w:p w14:paraId="29A6B19C" w14:textId="77777777" w:rsidR="00687D54" w:rsidRDefault="000064A1">
      <w:pPr>
        <w:numPr>
          <w:ilvl w:val="0"/>
          <w:numId w:val="1"/>
        </w:numPr>
        <w:shd w:val="clear" w:color="auto" w:fill="FFFFFF"/>
        <w:spacing w:line="276" w:lineRule="auto"/>
        <w:contextualSpacing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 xml:space="preserve">Leverage ESSA </w:t>
      </w:r>
    </w:p>
    <w:p w14:paraId="7AF86963" w14:textId="77777777" w:rsidR="00687D54" w:rsidRDefault="000064A1">
      <w:pPr>
        <w:numPr>
          <w:ilvl w:val="0"/>
          <w:numId w:val="1"/>
        </w:numPr>
        <w:shd w:val="clear" w:color="auto" w:fill="FFFFFF"/>
        <w:spacing w:line="276" w:lineRule="auto"/>
        <w:contextualSpacing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 xml:space="preserve">Establish Data Governance Structure </w:t>
      </w:r>
    </w:p>
    <w:p w14:paraId="26EFF241" w14:textId="77777777" w:rsidR="00687D54" w:rsidRDefault="000064A1">
      <w:pPr>
        <w:numPr>
          <w:ilvl w:val="0"/>
          <w:numId w:val="1"/>
        </w:numPr>
        <w:shd w:val="clear" w:color="auto" w:fill="FFFFFF"/>
        <w:spacing w:line="276" w:lineRule="auto"/>
        <w:contextualSpacing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 xml:space="preserve">Develop a Flexible Implementation Plan </w:t>
      </w:r>
    </w:p>
    <w:p w14:paraId="5E2D61AE" w14:textId="77777777" w:rsidR="00687D54" w:rsidRDefault="000064A1">
      <w:pPr>
        <w:numPr>
          <w:ilvl w:val="0"/>
          <w:numId w:val="1"/>
        </w:numPr>
        <w:shd w:val="clear" w:color="auto" w:fill="FFFFFF"/>
        <w:spacing w:line="276" w:lineRule="auto"/>
        <w:contextualSpacing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 xml:space="preserve">Share Best Practices </w:t>
      </w:r>
    </w:p>
    <w:p w14:paraId="0E0947A6" w14:textId="77777777" w:rsidR="00687D54" w:rsidRDefault="000064A1">
      <w:pPr>
        <w:numPr>
          <w:ilvl w:val="0"/>
          <w:numId w:val="1"/>
        </w:numPr>
        <w:shd w:val="clear" w:color="auto" w:fill="FFFFFF"/>
        <w:spacing w:line="276" w:lineRule="auto"/>
        <w:contextualSpacing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 xml:space="preserve">Encourage Stakeholder Buy-In </w:t>
      </w:r>
    </w:p>
    <w:p w14:paraId="150E7350" w14:textId="77777777" w:rsidR="00687D54" w:rsidRDefault="000064A1">
      <w:pPr>
        <w:numPr>
          <w:ilvl w:val="0"/>
          <w:numId w:val="1"/>
        </w:numPr>
        <w:shd w:val="clear" w:color="auto" w:fill="FFFFFF"/>
        <w:spacing w:line="276" w:lineRule="auto"/>
        <w:contextualSpacing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 xml:space="preserve">Collaborate with Districts </w:t>
      </w:r>
    </w:p>
    <w:p w14:paraId="666A8CE4" w14:textId="77777777" w:rsidR="00687D54" w:rsidRDefault="000064A1">
      <w:pPr>
        <w:numPr>
          <w:ilvl w:val="0"/>
          <w:numId w:val="1"/>
        </w:numPr>
        <w:shd w:val="clear" w:color="auto" w:fill="FFFFFF"/>
        <w:spacing w:line="276" w:lineRule="auto"/>
        <w:contextualSpacing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 xml:space="preserve">Communicate with Vendors </w:t>
      </w:r>
    </w:p>
    <w:p w14:paraId="20ABF5F3" w14:textId="77777777" w:rsidR="00687D54" w:rsidRDefault="00687D54">
      <w:pPr>
        <w:shd w:val="clear" w:color="auto" w:fill="FFFFFF"/>
        <w:spacing w:line="276" w:lineRule="auto"/>
        <w:rPr>
          <w:rFonts w:ascii="Arial" w:eastAsia="Arial" w:hAnsi="Arial" w:cs="Arial"/>
          <w:color w:val="333333"/>
          <w:sz w:val="18"/>
          <w:szCs w:val="18"/>
        </w:rPr>
      </w:pPr>
    </w:p>
    <w:p w14:paraId="00072D12" w14:textId="77777777" w:rsidR="00687D54" w:rsidRDefault="00687D54">
      <w:pPr>
        <w:shd w:val="clear" w:color="auto" w:fill="FFFFFF"/>
        <w:spacing w:line="276" w:lineRule="auto"/>
        <w:rPr>
          <w:rFonts w:ascii="Arial" w:eastAsia="Arial" w:hAnsi="Arial" w:cs="Arial"/>
          <w:color w:val="333333"/>
          <w:sz w:val="18"/>
          <w:szCs w:val="18"/>
        </w:rPr>
      </w:pPr>
    </w:p>
    <w:p w14:paraId="2E58AB16" w14:textId="77777777" w:rsidR="00687D54" w:rsidRDefault="00687D54">
      <w:pPr>
        <w:shd w:val="clear" w:color="auto" w:fill="FFFFFF"/>
        <w:spacing w:line="276" w:lineRule="auto"/>
        <w:rPr>
          <w:rFonts w:ascii="Arial" w:eastAsia="Arial" w:hAnsi="Arial" w:cs="Arial"/>
          <w:color w:val="333333"/>
          <w:sz w:val="18"/>
          <w:szCs w:val="18"/>
        </w:rPr>
      </w:pPr>
    </w:p>
    <w:p w14:paraId="1AA83088" w14:textId="77777777" w:rsidR="00687D54" w:rsidRDefault="000064A1">
      <w:pPr>
        <w:shd w:val="clear" w:color="auto" w:fill="FFFFFF"/>
        <w:spacing w:line="276" w:lineRule="auto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>“SETDA has done an excellent job of pulling together many different perspectives and voices to deliver this valuable resource to their members,” said Maureen Wentworth, manager, Strategic Partnerships, Ed-Fi Alliance. “The repo</w:t>
      </w:r>
      <w:r>
        <w:rPr>
          <w:rFonts w:ascii="Arial" w:eastAsia="Arial" w:hAnsi="Arial" w:cs="Arial"/>
          <w:color w:val="333333"/>
          <w:sz w:val="18"/>
          <w:szCs w:val="18"/>
        </w:rPr>
        <w:t>rt captures the current state of play in the ed tech market, the challenges and benefits of bringing interoperability to state education agencies and a clear outline of the resources state leaders might use to begin their own journey towards interoperabili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ty practices.” </w:t>
      </w:r>
    </w:p>
    <w:p w14:paraId="415A81BC" w14:textId="77777777" w:rsidR="00687D54" w:rsidRDefault="00687D54">
      <w:pPr>
        <w:shd w:val="clear" w:color="auto" w:fill="FFFFFF"/>
        <w:spacing w:line="276" w:lineRule="auto"/>
        <w:rPr>
          <w:rFonts w:ascii="Arial" w:eastAsia="Arial" w:hAnsi="Arial" w:cs="Arial"/>
          <w:color w:val="333333"/>
          <w:sz w:val="18"/>
          <w:szCs w:val="18"/>
        </w:rPr>
      </w:pPr>
    </w:p>
    <w:p w14:paraId="482FE934" w14:textId="77777777" w:rsidR="00687D54" w:rsidRDefault="000064A1">
      <w:pPr>
        <w:shd w:val="clear" w:color="auto" w:fill="FFFFFF"/>
        <w:spacing w:line="276" w:lineRule="auto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  <w:highlight w:val="white"/>
        </w:rPr>
        <w:t>“Research like this supports the entire interoperability movement, and we were happy to share our own successes and challenges to serve a larger purpose,” said Patches Hill, SETDA member, director and chief information officer for technolo</w:t>
      </w:r>
      <w:r>
        <w:rPr>
          <w:rFonts w:ascii="Arial" w:eastAsia="Arial" w:hAnsi="Arial" w:cs="Arial"/>
          <w:color w:val="333333"/>
          <w:sz w:val="18"/>
          <w:szCs w:val="18"/>
          <w:highlight w:val="white"/>
        </w:rPr>
        <w:t xml:space="preserve">gy operations, Delaware Department of Education. </w:t>
      </w:r>
      <w:proofErr w:type="gramStart"/>
      <w:r>
        <w:rPr>
          <w:rFonts w:ascii="Arial" w:eastAsia="Arial" w:hAnsi="Arial" w:cs="Arial"/>
          <w:color w:val="333333"/>
          <w:sz w:val="18"/>
          <w:szCs w:val="18"/>
          <w:highlight w:val="white"/>
        </w:rPr>
        <w:t>”Without</w:t>
      </w:r>
      <w:proofErr w:type="gramEnd"/>
      <w:r>
        <w:rPr>
          <w:rFonts w:ascii="Arial" w:eastAsia="Arial" w:hAnsi="Arial" w:cs="Arial"/>
          <w:color w:val="333333"/>
          <w:sz w:val="18"/>
          <w:szCs w:val="18"/>
          <w:highlight w:val="white"/>
        </w:rPr>
        <w:t xml:space="preserve"> an interoperability implementation plan and buy-in from stakeholders, it is difficult to maximize the use of data for student learning. This report will help address that gap.”  </w:t>
      </w:r>
    </w:p>
    <w:p w14:paraId="71125CE9" w14:textId="77777777" w:rsidR="00687D54" w:rsidRDefault="00687D54">
      <w:pPr>
        <w:shd w:val="clear" w:color="auto" w:fill="FFFFFF"/>
        <w:spacing w:line="276" w:lineRule="auto"/>
        <w:rPr>
          <w:rFonts w:ascii="Arial" w:eastAsia="Arial" w:hAnsi="Arial" w:cs="Arial"/>
          <w:color w:val="333333"/>
          <w:sz w:val="18"/>
          <w:szCs w:val="18"/>
        </w:rPr>
      </w:pPr>
    </w:p>
    <w:p w14:paraId="68833B7F" w14:textId="77777777" w:rsidR="00687D54" w:rsidRDefault="000064A1">
      <w:pPr>
        <w:shd w:val="clear" w:color="auto" w:fill="FFFFFF"/>
        <w:spacing w:line="276" w:lineRule="auto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"The SETDA guide h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ighlights how interoperability allows for a balance between high quality information and local use of that information to support teaching and learning,” noted Bill Fitzgerald, Director of Project Unicorn at </w:t>
      </w:r>
      <w:proofErr w:type="spellStart"/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InnovateEDU</w:t>
      </w:r>
      <w:proofErr w:type="spellEnd"/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. “The information in this guide offe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rs something for everyone, from decision makers to people looking to learn more about how interoperability can support better access to information."</w:t>
      </w:r>
    </w:p>
    <w:p w14:paraId="0D8E63DC" w14:textId="77777777" w:rsidR="00687D54" w:rsidRDefault="00687D54">
      <w:pPr>
        <w:shd w:val="clear" w:color="auto" w:fill="FFFFFF"/>
        <w:spacing w:line="276" w:lineRule="auto"/>
        <w:rPr>
          <w:rFonts w:ascii="Arial" w:eastAsia="Arial" w:hAnsi="Arial" w:cs="Arial"/>
          <w:color w:val="333333"/>
          <w:sz w:val="18"/>
          <w:szCs w:val="18"/>
        </w:rPr>
      </w:pPr>
    </w:p>
    <w:p w14:paraId="2A99B7E7" w14:textId="77777777" w:rsidR="00687D54" w:rsidRDefault="000064A1">
      <w:pPr>
        <w:shd w:val="clear" w:color="auto" w:fill="FFFFFF"/>
        <w:spacing w:line="276" w:lineRule="auto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 xml:space="preserve">This work was made possible by funding from the </w:t>
      </w:r>
      <w:hyperlink r:id="rId11">
        <w:r>
          <w:rPr>
            <w:rFonts w:ascii="Arial" w:eastAsia="Arial" w:hAnsi="Arial" w:cs="Arial"/>
            <w:color w:val="800080"/>
            <w:sz w:val="18"/>
            <w:szCs w:val="18"/>
            <w:u w:val="single"/>
          </w:rPr>
          <w:t xml:space="preserve">Michael &amp; Susan </w:t>
        </w:r>
        <w:r>
          <w:rPr>
            <w:rFonts w:ascii="Arial" w:eastAsia="Arial" w:hAnsi="Arial" w:cs="Arial"/>
            <w:color w:val="800080"/>
            <w:sz w:val="18"/>
            <w:szCs w:val="18"/>
            <w:u w:val="single"/>
          </w:rPr>
          <w:t>Dell Foundation</w:t>
        </w:r>
      </w:hyperlink>
      <w:r>
        <w:rPr>
          <w:rFonts w:ascii="Arial" w:eastAsia="Arial" w:hAnsi="Arial" w:cs="Arial"/>
          <w:color w:val="333333"/>
          <w:sz w:val="18"/>
          <w:szCs w:val="18"/>
        </w:rPr>
        <w:t xml:space="preserve"> and in partnership with the </w:t>
      </w:r>
      <w:hyperlink r:id="rId12">
        <w:r>
          <w:rPr>
            <w:rFonts w:ascii="Arial" w:eastAsia="Arial" w:hAnsi="Arial" w:cs="Arial"/>
            <w:color w:val="800080"/>
            <w:sz w:val="18"/>
            <w:szCs w:val="18"/>
            <w:u w:val="single"/>
          </w:rPr>
          <w:t>Ed-Fi Alliance</w:t>
        </w:r>
      </w:hyperlink>
      <w:r>
        <w:rPr>
          <w:rFonts w:ascii="Arial" w:eastAsia="Arial" w:hAnsi="Arial" w:cs="Arial"/>
          <w:color w:val="333333"/>
          <w:sz w:val="18"/>
          <w:szCs w:val="18"/>
        </w:rPr>
        <w:t xml:space="preserve">. </w:t>
      </w:r>
    </w:p>
    <w:p w14:paraId="6630EF9C" w14:textId="77777777" w:rsidR="00687D54" w:rsidRDefault="000064A1">
      <w:pPr>
        <w:shd w:val="clear" w:color="auto" w:fill="FFFFFF"/>
        <w:spacing w:line="276" w:lineRule="auto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 xml:space="preserve"> </w:t>
      </w:r>
    </w:p>
    <w:p w14:paraId="7E651394" w14:textId="77777777" w:rsidR="00687D54" w:rsidRDefault="000064A1">
      <w:pPr>
        <w:shd w:val="clear" w:color="auto" w:fill="FFFFFF"/>
        <w:spacing w:line="276" w:lineRule="auto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 xml:space="preserve">Access this press release online here: </w:t>
      </w:r>
      <w:hyperlink r:id="rId13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http://www.setda.org/priori</w:t>
        </w:r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ties/interoperability/stateleadership/</w:t>
        </w:r>
      </w:hyperlink>
    </w:p>
    <w:p w14:paraId="06AD01CA" w14:textId="77777777" w:rsidR="00687D54" w:rsidRDefault="00687D54">
      <w:pPr>
        <w:shd w:val="clear" w:color="auto" w:fill="FFFFFF"/>
        <w:spacing w:line="276" w:lineRule="auto"/>
        <w:rPr>
          <w:rFonts w:ascii="Arial" w:eastAsia="Arial" w:hAnsi="Arial" w:cs="Arial"/>
          <w:color w:val="333333"/>
          <w:sz w:val="18"/>
          <w:szCs w:val="18"/>
        </w:rPr>
      </w:pPr>
    </w:p>
    <w:p w14:paraId="362A60F3" w14:textId="77777777" w:rsidR="00687D54" w:rsidRDefault="000064A1">
      <w:pPr>
        <w:shd w:val="clear" w:color="auto" w:fill="FFFFFF"/>
        <w:spacing w:line="276" w:lineRule="auto"/>
        <w:rPr>
          <w:rFonts w:ascii="Arial" w:eastAsia="Arial" w:hAnsi="Arial" w:cs="Arial"/>
          <w:b/>
          <w:color w:val="333333"/>
          <w:sz w:val="18"/>
          <w:szCs w:val="18"/>
        </w:rPr>
      </w:pPr>
      <w:r>
        <w:rPr>
          <w:rFonts w:ascii="Arial" w:eastAsia="Arial" w:hAnsi="Arial" w:cs="Arial"/>
          <w:b/>
          <w:color w:val="333333"/>
          <w:sz w:val="18"/>
          <w:szCs w:val="18"/>
        </w:rPr>
        <w:t>About SETDA</w:t>
      </w:r>
    </w:p>
    <w:p w14:paraId="12D61775" w14:textId="77777777" w:rsidR="00687D54" w:rsidRDefault="000064A1">
      <w:pPr>
        <w:shd w:val="clear" w:color="auto" w:fill="FFFFFF"/>
        <w:spacing w:line="276" w:lineRule="auto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>Founded in 2001, the State Educational Technology Directors Association (SETDA) is the principal non-profit membership association representing U.S. state and territorial educational technology leaders. O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ur mission is to build and increase the capacity of state and national leaders to improve education through technology policy and practice. For more information, please visit: </w:t>
      </w:r>
      <w:hyperlink r:id="rId14">
        <w:r>
          <w:rPr>
            <w:rFonts w:ascii="Arial" w:eastAsia="Arial" w:hAnsi="Arial" w:cs="Arial"/>
            <w:color w:val="17488A"/>
            <w:sz w:val="18"/>
            <w:szCs w:val="18"/>
            <w:u w:val="single"/>
          </w:rPr>
          <w:t>setda.org</w:t>
        </w:r>
      </w:hyperlink>
      <w:r>
        <w:rPr>
          <w:rFonts w:ascii="Arial" w:eastAsia="Arial" w:hAnsi="Arial" w:cs="Arial"/>
          <w:color w:val="333333"/>
          <w:sz w:val="18"/>
          <w:szCs w:val="18"/>
        </w:rPr>
        <w:t>.</w:t>
      </w:r>
    </w:p>
    <w:p w14:paraId="3A4E9A6D" w14:textId="77777777" w:rsidR="00687D54" w:rsidRDefault="000064A1">
      <w:pPr>
        <w:spacing w:line="301" w:lineRule="auto"/>
        <w:rPr>
          <w:color w:val="333333"/>
        </w:rPr>
      </w:pPr>
      <w:r>
        <w:rPr>
          <w:color w:val="333333"/>
          <w:sz w:val="18"/>
          <w:szCs w:val="18"/>
        </w:rPr>
        <w:t xml:space="preserve"> </w:t>
      </w:r>
    </w:p>
    <w:p w14:paraId="748726E7" w14:textId="77777777" w:rsidR="00687D54" w:rsidRDefault="00687D54">
      <w:pPr>
        <w:spacing w:line="276" w:lineRule="auto"/>
        <w:rPr>
          <w:rFonts w:ascii="Arial" w:eastAsia="Arial" w:hAnsi="Arial" w:cs="Arial"/>
          <w:color w:val="333333"/>
          <w:sz w:val="18"/>
          <w:szCs w:val="18"/>
        </w:rPr>
      </w:pPr>
    </w:p>
    <w:sectPr w:rsidR="00687D54">
      <w:headerReference w:type="default" r:id="rId15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F7768" w14:textId="77777777" w:rsidR="000064A1" w:rsidRDefault="000064A1">
      <w:r>
        <w:separator/>
      </w:r>
    </w:p>
  </w:endnote>
  <w:endnote w:type="continuationSeparator" w:id="0">
    <w:p w14:paraId="713F308A" w14:textId="77777777" w:rsidR="000064A1" w:rsidRDefault="0000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A680C" w14:textId="77777777" w:rsidR="000064A1" w:rsidRDefault="000064A1">
      <w:r>
        <w:separator/>
      </w:r>
    </w:p>
  </w:footnote>
  <w:footnote w:type="continuationSeparator" w:id="0">
    <w:p w14:paraId="3249AF9F" w14:textId="77777777" w:rsidR="000064A1" w:rsidRDefault="00006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ACBC1" w14:textId="77777777" w:rsidR="00687D54" w:rsidRDefault="000064A1">
    <w:pPr>
      <w:tabs>
        <w:tab w:val="center" w:pos="4320"/>
        <w:tab w:val="right" w:pos="8640"/>
      </w:tabs>
      <w:spacing w:before="720"/>
    </w:pPr>
    <w:r>
      <w:rPr>
        <w:noProof/>
      </w:rPr>
      <w:drawing>
        <wp:inline distT="0" distB="0" distL="0" distR="0" wp14:anchorId="713A37D0" wp14:editId="617C1A8D">
          <wp:extent cx="5943600" cy="94043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40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7221B"/>
    <w:multiLevelType w:val="multilevel"/>
    <w:tmpl w:val="34340D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7D54"/>
    <w:rsid w:val="000064A1"/>
    <w:rsid w:val="00687D54"/>
    <w:rsid w:val="0099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44497"/>
  <w15:docId w15:val="{4B74B37A-DEEB-4663-8E26-AF2AD7A8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da.org/priorities/interoperability/stateleadership/" TargetMode="External"/><Relationship Id="rId13" Type="http://schemas.openxmlformats.org/officeDocument/2006/relationships/hyperlink" Target="http://www.setda.org/priorities/interoperability/stateleadershi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weeks@setda.org" TargetMode="External"/><Relationship Id="rId12" Type="http://schemas.openxmlformats.org/officeDocument/2006/relationships/hyperlink" Target="https://www.ed-fi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sdf.or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etda.org/priorities/interoperability/stateleadershi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tda.org/priorities/interoperability/stateleadership/" TargetMode="External"/><Relationship Id="rId14" Type="http://schemas.openxmlformats.org/officeDocument/2006/relationships/hyperlink" Target="https://setda.us1.list-manage.com/track/click?u=1f18c643d052d9f509a7060f4&amp;id=2213ca7896&amp;e=3451c3b49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Jones</cp:lastModifiedBy>
  <cp:revision>2</cp:revision>
  <dcterms:created xsi:type="dcterms:W3CDTF">2018-05-14T14:01:00Z</dcterms:created>
  <dcterms:modified xsi:type="dcterms:W3CDTF">2018-05-14T14:02:00Z</dcterms:modified>
</cp:coreProperties>
</file>