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86D27A8" w14:textId="77777777" w:rsidR="00321215" w:rsidRPr="009907D4" w:rsidRDefault="003E34C8" w:rsidP="00E150A1">
      <w:pPr>
        <w:spacing w:line="240" w:lineRule="auto"/>
        <w:ind w:left="-80"/>
        <w:rPr>
          <w:b/>
          <w:sz w:val="24"/>
          <w:szCs w:val="24"/>
        </w:rPr>
      </w:pPr>
      <w:bookmarkStart w:id="0" w:name="_gjdgxs" w:colFirst="0" w:colLast="0"/>
      <w:bookmarkEnd w:id="0"/>
      <w:r w:rsidRPr="009907D4">
        <w:rPr>
          <w:b/>
          <w:sz w:val="24"/>
          <w:szCs w:val="24"/>
        </w:rPr>
        <w:t xml:space="preserve">  </w:t>
      </w:r>
    </w:p>
    <w:p w14:paraId="3E974AD2" w14:textId="77777777" w:rsidR="00321215" w:rsidRPr="009907D4" w:rsidRDefault="003E34C8" w:rsidP="00E150A1">
      <w:pPr>
        <w:spacing w:line="240" w:lineRule="auto"/>
        <w:ind w:left="-80"/>
        <w:rPr>
          <w:b/>
          <w:sz w:val="24"/>
          <w:szCs w:val="24"/>
        </w:rPr>
      </w:pPr>
      <w:r w:rsidRPr="009907D4">
        <w:rPr>
          <w:noProof/>
          <w:sz w:val="24"/>
          <w:szCs w:val="24"/>
        </w:rPr>
        <w:drawing>
          <wp:inline distT="114300" distB="114300" distL="114300" distR="114300" wp14:anchorId="687A0A45" wp14:editId="7CE2D92D">
            <wp:extent cx="4773168" cy="685800"/>
            <wp:effectExtent l="0" t="0" r="0" b="0"/>
            <wp:docPr id="6" name="imag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jpg" descr="DL_in_Action_final.jpg"/>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4773168" cy="685800"/>
                    </a:xfrm>
                    <a:prstGeom prst="rect">
                      <a:avLst/>
                    </a:prstGeom>
                    <a:ln/>
                  </pic:spPr>
                </pic:pic>
              </a:graphicData>
            </a:graphic>
          </wp:inline>
        </w:drawing>
      </w:r>
    </w:p>
    <w:p w14:paraId="4D1E3E9E" w14:textId="77777777" w:rsidR="00321215" w:rsidRPr="009907D4" w:rsidRDefault="00321215" w:rsidP="00E150A1">
      <w:pPr>
        <w:spacing w:line="240" w:lineRule="auto"/>
        <w:ind w:left="-80"/>
        <w:rPr>
          <w:b/>
          <w:color w:val="294179"/>
          <w:sz w:val="24"/>
          <w:szCs w:val="24"/>
        </w:rPr>
      </w:pPr>
    </w:p>
    <w:p w14:paraId="547DF599" w14:textId="77777777" w:rsidR="002C3548" w:rsidRDefault="002C3548" w:rsidP="00150E49">
      <w:pPr>
        <w:spacing w:line="240" w:lineRule="auto"/>
        <w:ind w:left="-80"/>
        <w:outlineLvl w:val="0"/>
        <w:rPr>
          <w:b/>
          <w:color w:val="00A79D"/>
          <w:sz w:val="24"/>
          <w:szCs w:val="24"/>
        </w:rPr>
      </w:pPr>
    </w:p>
    <w:p w14:paraId="7843AAF2" w14:textId="77777777" w:rsidR="00D24B9B" w:rsidRPr="00150E49" w:rsidRDefault="003E34C8" w:rsidP="00150E49">
      <w:pPr>
        <w:spacing w:line="240" w:lineRule="auto"/>
        <w:ind w:left="-80"/>
        <w:outlineLvl w:val="0"/>
        <w:rPr>
          <w:b/>
          <w:color w:val="00A79D"/>
          <w:sz w:val="24"/>
          <w:szCs w:val="24"/>
        </w:rPr>
      </w:pPr>
      <w:r w:rsidRPr="00150E49">
        <w:rPr>
          <w:b/>
          <w:color w:val="00A79D"/>
          <w:sz w:val="24"/>
          <w:szCs w:val="24"/>
        </w:rPr>
        <w:t>TEACHER PREPARATION COMMUNICATION TOOLKIT</w:t>
      </w:r>
      <w:bookmarkStart w:id="1" w:name="_1fsnrllxzzu5" w:colFirst="0" w:colLast="0"/>
      <w:bookmarkEnd w:id="1"/>
    </w:p>
    <w:p w14:paraId="3F89AF22" w14:textId="730A42E0" w:rsidR="00D24B9B" w:rsidRPr="009907D4" w:rsidRDefault="003E34C8" w:rsidP="00E150A1">
      <w:pPr>
        <w:spacing w:line="240" w:lineRule="auto"/>
        <w:ind w:left="-80"/>
        <w:rPr>
          <w:sz w:val="24"/>
          <w:szCs w:val="24"/>
        </w:rPr>
      </w:pPr>
      <w:r w:rsidRPr="009907D4">
        <w:rPr>
          <w:sz w:val="24"/>
          <w:szCs w:val="24"/>
        </w:rPr>
        <w:t>This toolkit is to support both faculty and preservice teachers that are part of educator preparat</w:t>
      </w:r>
      <w:r w:rsidR="00F5331C" w:rsidRPr="009907D4">
        <w:rPr>
          <w:sz w:val="24"/>
          <w:szCs w:val="24"/>
        </w:rPr>
        <w:t xml:space="preserve">ion programs (EPP) via both </w:t>
      </w:r>
      <w:r w:rsidR="00D24B9B" w:rsidRPr="009907D4">
        <w:rPr>
          <w:sz w:val="24"/>
          <w:szCs w:val="24"/>
        </w:rPr>
        <w:t>i</w:t>
      </w:r>
      <w:r w:rsidRPr="009907D4">
        <w:rPr>
          <w:sz w:val="24"/>
          <w:szCs w:val="24"/>
        </w:rPr>
        <w:t>nstitut</w:t>
      </w:r>
      <w:r w:rsidR="001926E6" w:rsidRPr="009907D4">
        <w:rPr>
          <w:sz w:val="24"/>
          <w:szCs w:val="24"/>
        </w:rPr>
        <w:t>ion</w:t>
      </w:r>
      <w:r w:rsidR="00D24B9B" w:rsidRPr="009907D4">
        <w:rPr>
          <w:sz w:val="24"/>
          <w:szCs w:val="24"/>
        </w:rPr>
        <w:t>s</w:t>
      </w:r>
      <w:r w:rsidRPr="009907D4">
        <w:rPr>
          <w:sz w:val="24"/>
          <w:szCs w:val="24"/>
        </w:rPr>
        <w:t xml:space="preserve"> of </w:t>
      </w:r>
      <w:r w:rsidR="00D24B9B" w:rsidRPr="009907D4">
        <w:rPr>
          <w:sz w:val="24"/>
          <w:szCs w:val="24"/>
        </w:rPr>
        <w:t>h</w:t>
      </w:r>
      <w:r w:rsidRPr="009907D4">
        <w:rPr>
          <w:sz w:val="24"/>
          <w:szCs w:val="24"/>
        </w:rPr>
        <w:t xml:space="preserve">igher education programs and non-traditional preparation programs. Exploring the knowledge, skills and dispositions required of teachers working in digital age classrooms, this resource is poised to positively impact new teacher experiences and student learning opportunities. </w:t>
      </w:r>
      <w:r w:rsidR="00D24B9B" w:rsidRPr="009907D4">
        <w:rPr>
          <w:sz w:val="24"/>
          <w:szCs w:val="24"/>
        </w:rPr>
        <w:t>This</w:t>
      </w:r>
      <w:r w:rsidR="009907D4" w:rsidRPr="009907D4">
        <w:rPr>
          <w:sz w:val="24"/>
          <w:szCs w:val="24"/>
        </w:rPr>
        <w:t xml:space="preserve"> toolkit</w:t>
      </w:r>
      <w:r w:rsidR="00D24B9B" w:rsidRPr="009907D4">
        <w:rPr>
          <w:sz w:val="24"/>
          <w:szCs w:val="24"/>
        </w:rPr>
        <w:t xml:space="preserve"> includes a communications packet with sample documents </w:t>
      </w:r>
      <w:bookmarkStart w:id="2" w:name="_Hlk485119545"/>
      <w:r w:rsidR="00D24B9B" w:rsidRPr="009907D4">
        <w:rPr>
          <w:sz w:val="24"/>
          <w:szCs w:val="24"/>
        </w:rPr>
        <w:t>that are customizable for EPP to use with your faculty and preservice teachers.</w:t>
      </w:r>
      <w:bookmarkStart w:id="3" w:name="_Hlk485135953"/>
    </w:p>
    <w:p w14:paraId="326287DD" w14:textId="77777777" w:rsidR="00D24B9B" w:rsidRPr="009907D4" w:rsidRDefault="00D24B9B" w:rsidP="00E150A1">
      <w:pPr>
        <w:spacing w:line="240" w:lineRule="auto"/>
        <w:ind w:left="-80"/>
        <w:rPr>
          <w:sz w:val="24"/>
          <w:szCs w:val="24"/>
        </w:rPr>
      </w:pPr>
    </w:p>
    <w:p w14:paraId="052A88CE" w14:textId="77777777" w:rsidR="00D24B9B" w:rsidRPr="00150E49" w:rsidRDefault="00D24B9B" w:rsidP="00150E49">
      <w:pPr>
        <w:spacing w:line="240" w:lineRule="auto"/>
        <w:ind w:left="-80"/>
        <w:outlineLvl w:val="0"/>
        <w:rPr>
          <w:b/>
          <w:color w:val="00A79D"/>
          <w:sz w:val="24"/>
          <w:szCs w:val="24"/>
        </w:rPr>
      </w:pPr>
      <w:r w:rsidRPr="00150E49">
        <w:rPr>
          <w:b/>
          <w:color w:val="00A79D"/>
          <w:sz w:val="24"/>
          <w:szCs w:val="24"/>
        </w:rPr>
        <w:t>LEARNING IN THE DIGITAL AGE</w:t>
      </w:r>
    </w:p>
    <w:p w14:paraId="77C4EB9B" w14:textId="2CB5AC57" w:rsidR="00D24B9B" w:rsidRPr="009907D4" w:rsidRDefault="00D24B9B" w:rsidP="00E150A1">
      <w:pPr>
        <w:spacing w:line="240" w:lineRule="auto"/>
        <w:ind w:left="-80"/>
        <w:rPr>
          <w:sz w:val="24"/>
          <w:szCs w:val="24"/>
        </w:rPr>
      </w:pPr>
      <w:r w:rsidRPr="009907D4">
        <w:rPr>
          <w:sz w:val="24"/>
          <w:szCs w:val="24"/>
        </w:rPr>
        <w:t xml:space="preserve">Technology is an essential component of learning today. With digital applications, tools and resources, students can create content, interact with experts, collaborate with peers and participate in simulation activities. Personalized experiences put students at the center of learning and empowers students to take control of their own learning through flexibility and choice. The </w:t>
      </w:r>
      <w:hyperlink r:id="rId8">
        <w:r w:rsidRPr="009907D4">
          <w:rPr>
            <w:color w:val="0000FF"/>
            <w:sz w:val="24"/>
            <w:szCs w:val="24"/>
            <w:u w:val="single"/>
          </w:rPr>
          <w:t>Every Student Succeeds Act (ESSA)</w:t>
        </w:r>
      </w:hyperlink>
      <w:r w:rsidRPr="009907D4">
        <w:rPr>
          <w:sz w:val="24"/>
          <w:szCs w:val="24"/>
        </w:rPr>
        <w:t xml:space="preserve"> acknowledges technology’s role in revolutionizing learning and includes definitions for digital learning and blended learning, and references technology </w:t>
      </w:r>
      <w:r w:rsidR="00F5331C" w:rsidRPr="009907D4">
        <w:rPr>
          <w:sz w:val="24"/>
          <w:szCs w:val="24"/>
        </w:rPr>
        <w:t>throughout the legislation. T</w:t>
      </w:r>
      <w:r w:rsidRPr="009907D4">
        <w:rPr>
          <w:sz w:val="24"/>
          <w:szCs w:val="24"/>
        </w:rPr>
        <w:t xml:space="preserve">he </w:t>
      </w:r>
      <w:hyperlink r:id="rId9" w:history="1">
        <w:r w:rsidRPr="009907D4">
          <w:rPr>
            <w:rStyle w:val="Hyperlink"/>
            <w:sz w:val="24"/>
            <w:szCs w:val="24"/>
          </w:rPr>
          <w:t>Non-Regulatory Guidance Student Support and Academic Enrichment Grants</w:t>
        </w:r>
      </w:hyperlink>
      <w:r w:rsidRPr="009907D4">
        <w:rPr>
          <w:sz w:val="24"/>
          <w:szCs w:val="24"/>
        </w:rPr>
        <w:t xml:space="preserve"> publication provides an overview of activities LEAs may consider as they prepare for implementation of the effective use of technology (ESEA Section 4109). Specific activities include: supporting high-quality professional development for educators, school leaders, and administrators to personalize learning and improve academic achievement; building technological capacity and infrastructure; carrying out innovative blended learning projects; providing students in rural, remote, and underserved areas with the resources to benefit from high-quality digital learning opportunities; and delivering specialized or rigorous academic courses and curricula using technology, including digital learning technologies. Similarly, the </w:t>
      </w:r>
      <w:hyperlink r:id="rId10">
        <w:r w:rsidRPr="009907D4">
          <w:rPr>
            <w:color w:val="0000FF"/>
            <w:sz w:val="24"/>
            <w:szCs w:val="24"/>
            <w:u w:val="single"/>
          </w:rPr>
          <w:t>National Education Technology Plan (NETP)</w:t>
        </w:r>
      </w:hyperlink>
      <w:r w:rsidRPr="009907D4">
        <w:rPr>
          <w:sz w:val="24"/>
          <w:szCs w:val="24"/>
        </w:rPr>
        <w:t xml:space="preserve"> calls for a “revolutionary transformation rather than evolutionary tinkering” in education and recognizes that we must leverage technology to provide engaging and powerful learning experiences for all students. Technology offers all students – urban, rural, low-income, ESL, special needs, high achieving – the opportunity to engage in dynamic learning activities. Education leaders at the federal, state, and local level have the opportunity to provide leadership to ensure that all students have personalized, engaging learning experiences.</w:t>
      </w:r>
      <w:bookmarkStart w:id="4" w:name="_Hlk485035987"/>
      <w:bookmarkEnd w:id="2"/>
      <w:bookmarkEnd w:id="3"/>
    </w:p>
    <w:p w14:paraId="03542679" w14:textId="77777777" w:rsidR="00D24B9B" w:rsidRPr="009907D4" w:rsidRDefault="00D24B9B" w:rsidP="00E150A1">
      <w:pPr>
        <w:spacing w:line="240" w:lineRule="auto"/>
        <w:ind w:left="-80"/>
        <w:rPr>
          <w:sz w:val="24"/>
          <w:szCs w:val="24"/>
        </w:rPr>
      </w:pPr>
    </w:p>
    <w:p w14:paraId="423938C3" w14:textId="77777777" w:rsidR="003B6E0E" w:rsidRDefault="003B6E0E" w:rsidP="00150E49">
      <w:pPr>
        <w:spacing w:line="240" w:lineRule="auto"/>
        <w:ind w:left="-80"/>
        <w:outlineLvl w:val="0"/>
        <w:rPr>
          <w:b/>
          <w:color w:val="00A79D"/>
          <w:sz w:val="24"/>
          <w:szCs w:val="24"/>
        </w:rPr>
      </w:pPr>
    </w:p>
    <w:p w14:paraId="25A13B69" w14:textId="77777777" w:rsidR="00D24B9B" w:rsidRPr="00150E49" w:rsidRDefault="00D24B9B" w:rsidP="00150E49">
      <w:pPr>
        <w:spacing w:line="240" w:lineRule="auto"/>
        <w:ind w:left="-80"/>
        <w:outlineLvl w:val="0"/>
        <w:rPr>
          <w:b/>
          <w:color w:val="00A79D"/>
          <w:sz w:val="24"/>
          <w:szCs w:val="24"/>
        </w:rPr>
      </w:pPr>
      <w:r w:rsidRPr="00150E49">
        <w:rPr>
          <w:b/>
          <w:color w:val="00A79D"/>
          <w:sz w:val="24"/>
          <w:szCs w:val="24"/>
        </w:rPr>
        <w:t>ROLE TO SUPPORT LEARNING IN THE DIGITAL AGE</w:t>
      </w:r>
    </w:p>
    <w:p w14:paraId="730F664F" w14:textId="77777777" w:rsidR="0074515C" w:rsidRPr="009907D4" w:rsidRDefault="00D24B9B" w:rsidP="00E150A1">
      <w:pPr>
        <w:spacing w:line="240" w:lineRule="auto"/>
        <w:ind w:left="-80"/>
        <w:rPr>
          <w:sz w:val="24"/>
          <w:szCs w:val="24"/>
        </w:rPr>
      </w:pPr>
      <w:r w:rsidRPr="009907D4">
        <w:rPr>
          <w:sz w:val="24"/>
          <w:szCs w:val="24"/>
        </w:rPr>
        <w:t xml:space="preserve">As schools move towards digital learning environments, it is necessary to ensure that </w:t>
      </w:r>
      <w:r w:rsidR="00986292" w:rsidRPr="009907D4">
        <w:rPr>
          <w:sz w:val="24"/>
          <w:szCs w:val="24"/>
        </w:rPr>
        <w:t>preser</w:t>
      </w:r>
      <w:r w:rsidR="006A2BE1" w:rsidRPr="009907D4">
        <w:rPr>
          <w:sz w:val="24"/>
          <w:szCs w:val="24"/>
        </w:rPr>
        <w:t xml:space="preserve">vice teachers gain the </w:t>
      </w:r>
      <w:r w:rsidRPr="009907D4">
        <w:rPr>
          <w:sz w:val="24"/>
          <w:szCs w:val="24"/>
        </w:rPr>
        <w:t>knowledge</w:t>
      </w:r>
      <w:r w:rsidR="006A2BE1" w:rsidRPr="009907D4">
        <w:rPr>
          <w:sz w:val="24"/>
          <w:szCs w:val="24"/>
        </w:rPr>
        <w:t xml:space="preserve"> and s</w:t>
      </w:r>
      <w:r w:rsidRPr="009907D4">
        <w:rPr>
          <w:sz w:val="24"/>
          <w:szCs w:val="24"/>
        </w:rPr>
        <w:t xml:space="preserve">kills </w:t>
      </w:r>
      <w:r w:rsidR="006A2BE1" w:rsidRPr="009907D4">
        <w:rPr>
          <w:sz w:val="24"/>
          <w:szCs w:val="24"/>
        </w:rPr>
        <w:t>r</w:t>
      </w:r>
      <w:r w:rsidRPr="009907D4">
        <w:rPr>
          <w:sz w:val="24"/>
          <w:szCs w:val="24"/>
        </w:rPr>
        <w:t xml:space="preserve">equired </w:t>
      </w:r>
      <w:r w:rsidR="006A2BE1" w:rsidRPr="009907D4">
        <w:rPr>
          <w:sz w:val="24"/>
          <w:szCs w:val="24"/>
        </w:rPr>
        <w:t>for</w:t>
      </w:r>
      <w:r w:rsidRPr="009907D4">
        <w:rPr>
          <w:sz w:val="24"/>
          <w:szCs w:val="24"/>
        </w:rPr>
        <w:t xml:space="preserve"> teachers working in digital age classrooms</w:t>
      </w:r>
      <w:r w:rsidR="006A2BE1" w:rsidRPr="009907D4">
        <w:rPr>
          <w:sz w:val="24"/>
          <w:szCs w:val="24"/>
        </w:rPr>
        <w:t>.</w:t>
      </w:r>
      <w:bookmarkEnd w:id="4"/>
      <w:r w:rsidR="006A2BE1" w:rsidRPr="009907D4">
        <w:rPr>
          <w:sz w:val="24"/>
          <w:szCs w:val="24"/>
        </w:rPr>
        <w:t xml:space="preserve"> Through modeling of digital learning instruction, E</w:t>
      </w:r>
      <w:r w:rsidR="003E34C8" w:rsidRPr="009907D4">
        <w:rPr>
          <w:sz w:val="24"/>
          <w:szCs w:val="24"/>
        </w:rPr>
        <w:t xml:space="preserve">PP faculty members play a significant role </w:t>
      </w:r>
      <w:r w:rsidR="006A2BE1" w:rsidRPr="009907D4">
        <w:rPr>
          <w:sz w:val="24"/>
          <w:szCs w:val="24"/>
        </w:rPr>
        <w:t xml:space="preserve">for achieving that goal. </w:t>
      </w:r>
      <w:r w:rsidR="003E34C8" w:rsidRPr="009907D4">
        <w:rPr>
          <w:sz w:val="24"/>
          <w:szCs w:val="24"/>
        </w:rPr>
        <w:t xml:space="preserve">The Council for Accreditation of Educator Preparation (CAEP) in its </w:t>
      </w:r>
      <w:hyperlink r:id="rId11">
        <w:r w:rsidR="003E34C8" w:rsidRPr="009907D4">
          <w:rPr>
            <w:color w:val="0563C1"/>
            <w:sz w:val="24"/>
            <w:szCs w:val="24"/>
            <w:u w:val="single"/>
          </w:rPr>
          <w:t>Content and Pedagogical Standard</w:t>
        </w:r>
      </w:hyperlink>
      <w:r w:rsidR="003E34C8" w:rsidRPr="009907D4">
        <w:rPr>
          <w:sz w:val="24"/>
          <w:szCs w:val="24"/>
        </w:rPr>
        <w:t xml:space="preserve"> states that “Pr</w:t>
      </w:r>
      <w:r w:rsidR="003E34C8" w:rsidRPr="009907D4">
        <w:rPr>
          <w:sz w:val="24"/>
          <w:szCs w:val="24"/>
          <w:highlight w:val="white"/>
        </w:rPr>
        <w:t xml:space="preserve">oviders ensure that candidates model and apply technology standards as they design, implement and assess learning experiences to engage students and improve learning; and enrich professional practice.” </w:t>
      </w:r>
      <w:r w:rsidR="003E34C8" w:rsidRPr="009907D4">
        <w:rPr>
          <w:sz w:val="24"/>
          <w:szCs w:val="24"/>
        </w:rPr>
        <w:t xml:space="preserve">The National Association of State Boards of Education report, </w:t>
      </w:r>
      <w:hyperlink r:id="rId12">
        <w:r w:rsidR="003E34C8" w:rsidRPr="009907D4">
          <w:rPr>
            <w:color w:val="0563C1"/>
            <w:sz w:val="24"/>
            <w:szCs w:val="24"/>
            <w:u w:val="single"/>
          </w:rPr>
          <w:t>Born in Another Time</w:t>
        </w:r>
      </w:hyperlink>
      <w:r w:rsidR="003E34C8" w:rsidRPr="009907D4">
        <w:rPr>
          <w:sz w:val="24"/>
          <w:szCs w:val="24"/>
        </w:rPr>
        <w:t xml:space="preserve">, highlights the need for shifts in teacher preparation programs to support digital learning. Digital natives are not necessarily more likely to include the use of technology tools and resources in the classroom simply because they leverage them for personal use. Teachers that are best prepared for digital learning environments are immersed with digital tools and resources during their own educational experiences and understand the value of digital tools and </w:t>
      </w:r>
      <w:r w:rsidR="0074515C" w:rsidRPr="009907D4">
        <w:rPr>
          <w:sz w:val="24"/>
          <w:szCs w:val="24"/>
        </w:rPr>
        <w:t>resources for student learning.</w:t>
      </w:r>
    </w:p>
    <w:p w14:paraId="45948019" w14:textId="77777777" w:rsidR="0074515C" w:rsidRPr="009907D4" w:rsidRDefault="0074515C" w:rsidP="00E150A1">
      <w:pPr>
        <w:spacing w:line="240" w:lineRule="auto"/>
        <w:ind w:left="-80"/>
        <w:rPr>
          <w:sz w:val="24"/>
          <w:szCs w:val="24"/>
        </w:rPr>
      </w:pPr>
    </w:p>
    <w:p w14:paraId="6A02966E" w14:textId="44B6F89D" w:rsidR="0074515C" w:rsidRPr="00150E49" w:rsidRDefault="0074515C" w:rsidP="00150E49">
      <w:pPr>
        <w:spacing w:line="240" w:lineRule="auto"/>
        <w:ind w:left="-80"/>
        <w:outlineLvl w:val="0"/>
        <w:rPr>
          <w:color w:val="00A79D"/>
          <w:sz w:val="24"/>
          <w:szCs w:val="24"/>
        </w:rPr>
      </w:pPr>
      <w:r w:rsidRPr="00150E49">
        <w:rPr>
          <w:b/>
          <w:color w:val="00A79D"/>
          <w:sz w:val="24"/>
          <w:szCs w:val="24"/>
        </w:rPr>
        <w:t>KEY AREAS FOR EPPs</w:t>
      </w:r>
    </w:p>
    <w:p w14:paraId="6D63D915" w14:textId="36FA9855" w:rsidR="0074515C" w:rsidRPr="009907D4" w:rsidRDefault="0074515C" w:rsidP="00E150A1">
      <w:pPr>
        <w:spacing w:line="240" w:lineRule="auto"/>
        <w:ind w:left="-80"/>
        <w:rPr>
          <w:sz w:val="24"/>
          <w:szCs w:val="24"/>
        </w:rPr>
      </w:pPr>
      <w:r w:rsidRPr="009907D4">
        <w:rPr>
          <w:sz w:val="24"/>
          <w:szCs w:val="24"/>
        </w:rPr>
        <w:t>This section highlights some of the key areas of interest for EPPs, including professional learning and best practices.</w:t>
      </w:r>
    </w:p>
    <w:p w14:paraId="76CD6807" w14:textId="77777777" w:rsidR="0074515C" w:rsidRPr="009907D4" w:rsidRDefault="0074515C" w:rsidP="00E150A1">
      <w:pPr>
        <w:spacing w:line="240" w:lineRule="auto"/>
        <w:ind w:left="-80"/>
        <w:rPr>
          <w:b/>
          <w:color w:val="ED7D31"/>
          <w:sz w:val="24"/>
          <w:szCs w:val="24"/>
        </w:rPr>
      </w:pPr>
      <w:r w:rsidRPr="009907D4">
        <w:rPr>
          <w:noProof/>
          <w:sz w:val="24"/>
          <w:szCs w:val="24"/>
        </w:rPr>
        <w:drawing>
          <wp:anchor distT="0" distB="0" distL="114300" distR="114300" simplePos="0" relativeHeight="251655680" behindDoc="0" locked="0" layoutInCell="1" hidden="0" allowOverlap="1" wp14:anchorId="02D77B9E" wp14:editId="29EC8AAA">
            <wp:simplePos x="0" y="0"/>
            <wp:positionH relativeFrom="margin">
              <wp:posOffset>-37465</wp:posOffset>
            </wp:positionH>
            <wp:positionV relativeFrom="paragraph">
              <wp:posOffset>172720</wp:posOffset>
            </wp:positionV>
            <wp:extent cx="1371600" cy="1371600"/>
            <wp:effectExtent l="0" t="0" r="0" b="0"/>
            <wp:wrapSquare wrapText="bothSides" distT="0" distB="0" distL="114300" distR="114300"/>
            <wp:docPr id="8" name="image16.png"/>
            <wp:cNvGraphicFramePr/>
            <a:graphic xmlns:a="http://schemas.openxmlformats.org/drawingml/2006/main">
              <a:graphicData uri="http://schemas.openxmlformats.org/drawingml/2006/picture">
                <pic:pic xmlns:pic="http://schemas.openxmlformats.org/drawingml/2006/picture">
                  <pic:nvPicPr>
                    <pic:cNvPr id="0" name="image16.png" descr="https://lh4.googleusercontent.com/UUhPdYGsGbkEeUxuWLz_RusonhEGdzsf1dq00e7GBPzkHKJDKjZpffCB7vWO77L53OPDDrK4TDFMFoZo2Qvz4z-Qy5-SR7PoWzApOA77pYZN2xa8h88Xzho2OqWULa-zc1gYwKXU"/>
                    <pic:cNvPicPr preferRelativeResize="0"/>
                  </pic:nvPicPr>
                  <pic:blipFill>
                    <a:blip r:embed="rId13">
                      <a:extLst>
                        <a:ext uri="{28A0092B-C50C-407E-A947-70E740481C1C}">
                          <a14:useLocalDpi xmlns:a14="http://schemas.microsoft.com/office/drawing/2010/main" val="0"/>
                        </a:ext>
                      </a:extLst>
                    </a:blip>
                    <a:stretch>
                      <a:fillRect/>
                    </a:stretch>
                  </pic:blipFill>
                  <pic:spPr>
                    <a:xfrm>
                      <a:off x="0" y="0"/>
                      <a:ext cx="1371600" cy="1371600"/>
                    </a:xfrm>
                    <a:prstGeom prst="rect">
                      <a:avLst/>
                    </a:prstGeom>
                    <a:ln/>
                  </pic:spPr>
                </pic:pic>
              </a:graphicData>
            </a:graphic>
            <wp14:sizeRelH relativeFrom="margin">
              <wp14:pctWidth>0</wp14:pctWidth>
            </wp14:sizeRelH>
            <wp14:sizeRelV relativeFrom="margin">
              <wp14:pctHeight>0</wp14:pctHeight>
            </wp14:sizeRelV>
          </wp:anchor>
        </w:drawing>
      </w:r>
    </w:p>
    <w:p w14:paraId="411CD293" w14:textId="77777777" w:rsidR="0074515C" w:rsidRPr="009907D4" w:rsidRDefault="0074515C" w:rsidP="00E150A1">
      <w:pPr>
        <w:spacing w:line="240" w:lineRule="auto"/>
        <w:ind w:left="-80"/>
        <w:rPr>
          <w:b/>
          <w:color w:val="ED7D31"/>
          <w:sz w:val="24"/>
          <w:szCs w:val="24"/>
        </w:rPr>
      </w:pPr>
    </w:p>
    <w:p w14:paraId="09C718F6" w14:textId="77777777" w:rsidR="0074515C" w:rsidRPr="00150E49" w:rsidRDefault="0074515C" w:rsidP="00150E49">
      <w:pPr>
        <w:spacing w:line="240" w:lineRule="auto"/>
        <w:ind w:left="-80"/>
        <w:outlineLvl w:val="0"/>
        <w:rPr>
          <w:b/>
          <w:color w:val="00A79D"/>
          <w:sz w:val="24"/>
          <w:szCs w:val="24"/>
        </w:rPr>
      </w:pPr>
      <w:r w:rsidRPr="00150E49">
        <w:rPr>
          <w:b/>
          <w:color w:val="00A79D"/>
          <w:sz w:val="24"/>
          <w:szCs w:val="24"/>
        </w:rPr>
        <w:t>Professional Learning</w:t>
      </w:r>
    </w:p>
    <w:p w14:paraId="36155AC0" w14:textId="77777777" w:rsidR="0074515C" w:rsidRPr="009907D4" w:rsidRDefault="0074515C" w:rsidP="00E150A1">
      <w:pPr>
        <w:spacing w:line="240" w:lineRule="auto"/>
        <w:ind w:left="-80"/>
        <w:rPr>
          <w:b/>
          <w:color w:val="444444"/>
          <w:sz w:val="24"/>
          <w:szCs w:val="24"/>
        </w:rPr>
      </w:pPr>
      <w:r w:rsidRPr="009907D4">
        <w:rPr>
          <w:b/>
          <w:color w:val="444444"/>
          <w:sz w:val="24"/>
          <w:szCs w:val="24"/>
        </w:rPr>
        <w:t>As a faculty member of an EPP, how can we prepare preservice teachers for learning in the digital age?</w:t>
      </w:r>
    </w:p>
    <w:p w14:paraId="6C47593B" w14:textId="77777777" w:rsidR="0074515C" w:rsidRPr="009907D4" w:rsidRDefault="0074515C" w:rsidP="00E150A1">
      <w:pPr>
        <w:spacing w:line="240" w:lineRule="auto"/>
        <w:ind w:left="-80"/>
        <w:rPr>
          <w:color w:val="444444"/>
          <w:sz w:val="24"/>
          <w:szCs w:val="24"/>
        </w:rPr>
      </w:pPr>
    </w:p>
    <w:p w14:paraId="08371257" w14:textId="78984227" w:rsidR="0074515C" w:rsidRPr="009907D4" w:rsidRDefault="0074515C" w:rsidP="00E150A1">
      <w:pPr>
        <w:spacing w:line="240" w:lineRule="auto"/>
        <w:ind w:left="-80"/>
        <w:rPr>
          <w:sz w:val="24"/>
          <w:szCs w:val="24"/>
        </w:rPr>
      </w:pPr>
      <w:r w:rsidRPr="009907D4">
        <w:rPr>
          <w:sz w:val="24"/>
          <w:szCs w:val="24"/>
        </w:rPr>
        <w:t xml:space="preserve">Bridging the gap between teacher preparation programs and school systems is critical so that novice teachers are prepared for success in digital age classrooms. </w:t>
      </w:r>
      <w:r w:rsidRPr="009907D4">
        <w:rPr>
          <w:color w:val="444444"/>
          <w:sz w:val="24"/>
          <w:szCs w:val="24"/>
        </w:rPr>
        <w:t xml:space="preserve">EPPs and school districts can support teacher preparation faculty by sharing innovative models for digital learning implementation to prepare preservice teachers for learning in the digital age. For example, the Substitution Augmentation Modification Redefinition (SAMR) model provides a method for how technology impacts teaching and learning. As teachers progress to the redefinition stage in the model, technology supports student centered learning through student generated discussions and collaboration. The Technological Pedagogical Content Knowledge (TPACK) framework addresses the interplay of three primary forms of knowledge--content, technological and pedagogical. Scholars argue that good teaching requires an understanding of how technology relates to the pedagogy and content. </w:t>
      </w:r>
      <w:r w:rsidRPr="009907D4">
        <w:rPr>
          <w:sz w:val="24"/>
          <w:szCs w:val="24"/>
        </w:rPr>
        <w:t xml:space="preserve">The Innovation Exchange (developed by the </w:t>
      </w:r>
      <w:hyperlink r:id="rId14">
        <w:r w:rsidRPr="009907D4">
          <w:rPr>
            <w:color w:val="0563C1"/>
            <w:sz w:val="24"/>
            <w:szCs w:val="24"/>
            <w:u w:val="single"/>
          </w:rPr>
          <w:t>American Association of Colleges for Teacher Education</w:t>
        </w:r>
      </w:hyperlink>
      <w:r w:rsidRPr="009907D4">
        <w:rPr>
          <w:sz w:val="24"/>
          <w:szCs w:val="24"/>
        </w:rPr>
        <w:t xml:space="preserve">) is a vehicle for EPPs to share their innovative approaches, new technologies, and transformative practices in educator preparation. The Innovation Exchange promotes interaction and collaboration within the professional </w:t>
      </w:r>
      <w:r w:rsidRPr="009907D4">
        <w:rPr>
          <w:sz w:val="24"/>
          <w:szCs w:val="24"/>
        </w:rPr>
        <w:lastRenderedPageBreak/>
        <w:t xml:space="preserve">community. </w:t>
      </w:r>
    </w:p>
    <w:p w14:paraId="042ECB2E" w14:textId="0EE6FD76" w:rsidR="00E2183D" w:rsidRPr="009907D4" w:rsidRDefault="00E2183D" w:rsidP="00E150A1">
      <w:pPr>
        <w:spacing w:line="240" w:lineRule="auto"/>
        <w:ind w:left="-80"/>
        <w:rPr>
          <w:sz w:val="24"/>
          <w:szCs w:val="24"/>
        </w:rPr>
      </w:pPr>
    </w:p>
    <w:p w14:paraId="4E963E14" w14:textId="5B29A4BD" w:rsidR="00E2183D" w:rsidRPr="009907D4" w:rsidRDefault="00E2183D" w:rsidP="00150E49">
      <w:pPr>
        <w:spacing w:line="240" w:lineRule="auto"/>
        <w:ind w:left="-80"/>
        <w:outlineLvl w:val="0"/>
        <w:rPr>
          <w:b/>
          <w:sz w:val="24"/>
          <w:szCs w:val="24"/>
        </w:rPr>
      </w:pPr>
      <w:r w:rsidRPr="009907D4">
        <w:rPr>
          <w:b/>
          <w:sz w:val="24"/>
          <w:szCs w:val="24"/>
        </w:rPr>
        <w:t>Learn more about professional learning</w:t>
      </w:r>
    </w:p>
    <w:p w14:paraId="206B9D5B" w14:textId="77777777" w:rsidR="00E2183D" w:rsidRPr="009907D4" w:rsidRDefault="002D618A" w:rsidP="00150E49">
      <w:pPr>
        <w:spacing w:line="240" w:lineRule="auto"/>
        <w:ind w:left="-80"/>
        <w:outlineLvl w:val="0"/>
        <w:rPr>
          <w:sz w:val="24"/>
          <w:szCs w:val="24"/>
        </w:rPr>
      </w:pPr>
      <w:hyperlink r:id="rId15" w:history="1">
        <w:r w:rsidR="00E2183D" w:rsidRPr="009907D4">
          <w:rPr>
            <w:rStyle w:val="Hyperlink"/>
            <w:sz w:val="24"/>
            <w:szCs w:val="24"/>
          </w:rPr>
          <w:t>Professional Learning Toolkit</w:t>
        </w:r>
      </w:hyperlink>
      <w:r w:rsidR="00E2183D" w:rsidRPr="009907D4">
        <w:rPr>
          <w:rStyle w:val="Hyperlink"/>
          <w:sz w:val="24"/>
          <w:szCs w:val="24"/>
        </w:rPr>
        <w:t xml:space="preserve"> </w:t>
      </w:r>
    </w:p>
    <w:p w14:paraId="1C46DAED" w14:textId="77777777" w:rsidR="00E2183D" w:rsidRPr="009907D4" w:rsidRDefault="00E2183D" w:rsidP="00E150A1">
      <w:pPr>
        <w:spacing w:line="240" w:lineRule="auto"/>
        <w:ind w:left="-80"/>
        <w:rPr>
          <w:color w:val="444444"/>
          <w:sz w:val="24"/>
          <w:szCs w:val="24"/>
        </w:rPr>
      </w:pPr>
    </w:p>
    <w:p w14:paraId="36108E15" w14:textId="6115D83B" w:rsidR="00F36FB5" w:rsidRPr="009907D4" w:rsidRDefault="00F36FB5" w:rsidP="00E150A1">
      <w:pPr>
        <w:spacing w:line="240" w:lineRule="auto"/>
        <w:ind w:left="-80"/>
        <w:rPr>
          <w:sz w:val="24"/>
          <w:szCs w:val="24"/>
        </w:rPr>
      </w:pPr>
      <w:r w:rsidRPr="009907D4">
        <w:rPr>
          <w:noProof/>
          <w:sz w:val="24"/>
          <w:szCs w:val="24"/>
        </w:rPr>
        <w:drawing>
          <wp:anchor distT="0" distB="0" distL="114300" distR="114300" simplePos="0" relativeHeight="251654656" behindDoc="0" locked="0" layoutInCell="1" allowOverlap="1" wp14:anchorId="0E08A550" wp14:editId="27394B94">
            <wp:simplePos x="0" y="0"/>
            <wp:positionH relativeFrom="column">
              <wp:posOffset>-50800</wp:posOffset>
            </wp:positionH>
            <wp:positionV relativeFrom="paragraph">
              <wp:posOffset>200660</wp:posOffset>
            </wp:positionV>
            <wp:extent cx="1371600" cy="13716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est_practices.png"/>
                    <pic:cNvPicPr/>
                  </pic:nvPicPr>
                  <pic:blipFill>
                    <a:blip r:embed="rId16">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anchor>
        </w:drawing>
      </w:r>
    </w:p>
    <w:p w14:paraId="0B317FB8" w14:textId="77777777" w:rsidR="00D016FD" w:rsidRDefault="00D016FD" w:rsidP="00E150A1">
      <w:pPr>
        <w:spacing w:line="240" w:lineRule="auto"/>
        <w:ind w:left="-80"/>
        <w:rPr>
          <w:b/>
          <w:color w:val="ED7D31" w:themeColor="accent2"/>
          <w:sz w:val="24"/>
          <w:szCs w:val="24"/>
        </w:rPr>
      </w:pPr>
    </w:p>
    <w:p w14:paraId="769363E7" w14:textId="77777777" w:rsidR="00D016FD" w:rsidRDefault="00D016FD" w:rsidP="00E150A1">
      <w:pPr>
        <w:spacing w:line="240" w:lineRule="auto"/>
        <w:ind w:left="-80"/>
        <w:rPr>
          <w:b/>
          <w:color w:val="ED7D31" w:themeColor="accent2"/>
          <w:sz w:val="24"/>
          <w:szCs w:val="24"/>
        </w:rPr>
      </w:pPr>
    </w:p>
    <w:p w14:paraId="2A77E188" w14:textId="59B457A6" w:rsidR="00F36FB5" w:rsidRPr="00150E49" w:rsidRDefault="00F36FB5" w:rsidP="00150E49">
      <w:pPr>
        <w:spacing w:line="240" w:lineRule="auto"/>
        <w:ind w:left="-80"/>
        <w:outlineLvl w:val="0"/>
        <w:rPr>
          <w:b/>
          <w:color w:val="00A79D"/>
          <w:sz w:val="24"/>
          <w:szCs w:val="24"/>
        </w:rPr>
      </w:pPr>
      <w:r w:rsidRPr="00150E49">
        <w:rPr>
          <w:b/>
          <w:color w:val="00A79D"/>
          <w:sz w:val="24"/>
          <w:szCs w:val="24"/>
        </w:rPr>
        <w:t>Best Practices</w:t>
      </w:r>
    </w:p>
    <w:p w14:paraId="0E77808F" w14:textId="205DF002" w:rsidR="00F36FB5" w:rsidRPr="009907D4" w:rsidRDefault="00F36FB5" w:rsidP="00150E49">
      <w:pPr>
        <w:spacing w:line="240" w:lineRule="auto"/>
        <w:ind w:left="-80"/>
        <w:outlineLvl w:val="0"/>
        <w:rPr>
          <w:b/>
          <w:sz w:val="24"/>
          <w:szCs w:val="24"/>
        </w:rPr>
      </w:pPr>
      <w:r w:rsidRPr="009907D4">
        <w:rPr>
          <w:b/>
          <w:sz w:val="24"/>
          <w:szCs w:val="24"/>
        </w:rPr>
        <w:t>What are some of the best practices for EPP faculty and preservice teachers?</w:t>
      </w:r>
    </w:p>
    <w:p w14:paraId="2529DFF5" w14:textId="4CF46C1E" w:rsidR="00F36FB5" w:rsidRPr="009907D4" w:rsidRDefault="00F36FB5" w:rsidP="00E150A1">
      <w:pPr>
        <w:spacing w:line="240" w:lineRule="auto"/>
        <w:ind w:left="-80"/>
        <w:rPr>
          <w:sz w:val="24"/>
          <w:szCs w:val="24"/>
        </w:rPr>
      </w:pPr>
    </w:p>
    <w:p w14:paraId="0F5B293F" w14:textId="73A77916" w:rsidR="00321215" w:rsidRPr="009907D4" w:rsidRDefault="00F36FB5" w:rsidP="00E150A1">
      <w:pPr>
        <w:spacing w:line="240" w:lineRule="auto"/>
        <w:ind w:left="-80"/>
        <w:rPr>
          <w:sz w:val="24"/>
          <w:szCs w:val="24"/>
        </w:rPr>
      </w:pPr>
      <w:r w:rsidRPr="009907D4">
        <w:rPr>
          <w:noProof/>
          <w:sz w:val="24"/>
          <w:szCs w:val="24"/>
        </w:rPr>
        <w:drawing>
          <wp:anchor distT="0" distB="0" distL="114300" distR="114300" simplePos="0" relativeHeight="251653632" behindDoc="0" locked="0" layoutInCell="1" allowOverlap="1" wp14:anchorId="4890C665" wp14:editId="1E0A1FE6">
            <wp:simplePos x="0" y="0"/>
            <wp:positionH relativeFrom="margin">
              <wp:posOffset>2686050</wp:posOffset>
            </wp:positionH>
            <wp:positionV relativeFrom="paragraph">
              <wp:posOffset>387350</wp:posOffset>
            </wp:positionV>
            <wp:extent cx="3272155" cy="2413000"/>
            <wp:effectExtent l="0" t="0" r="4445" b="6350"/>
            <wp:wrapSquare wrapText="bothSides"/>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a:xfrm>
                      <a:off x="0" y="0"/>
                      <a:ext cx="3272155" cy="2413000"/>
                    </a:xfrm>
                    <a:prstGeom prst="rect">
                      <a:avLst/>
                    </a:prstGeom>
                    <a:ln/>
                  </pic:spPr>
                </pic:pic>
              </a:graphicData>
            </a:graphic>
            <wp14:sizeRelH relativeFrom="margin">
              <wp14:pctWidth>0</wp14:pctWidth>
            </wp14:sizeRelH>
            <wp14:sizeRelV relativeFrom="margin">
              <wp14:pctHeight>0</wp14:pctHeight>
            </wp14:sizeRelV>
          </wp:anchor>
        </w:drawing>
      </w:r>
      <w:r w:rsidR="00986292" w:rsidRPr="009907D4">
        <w:rPr>
          <w:sz w:val="24"/>
          <w:szCs w:val="24"/>
        </w:rPr>
        <w:t>T</w:t>
      </w:r>
      <w:r w:rsidR="003E34C8" w:rsidRPr="009907D4">
        <w:rPr>
          <w:sz w:val="24"/>
          <w:szCs w:val="24"/>
        </w:rPr>
        <w:t>he U.S Department of Education (ED) encourages Institut</w:t>
      </w:r>
      <w:r w:rsidR="00986292" w:rsidRPr="009907D4">
        <w:rPr>
          <w:sz w:val="24"/>
          <w:szCs w:val="24"/>
        </w:rPr>
        <w:t>ion</w:t>
      </w:r>
      <w:r w:rsidR="003E34C8" w:rsidRPr="009907D4">
        <w:rPr>
          <w:sz w:val="24"/>
          <w:szCs w:val="24"/>
        </w:rPr>
        <w:t>s of Higher Education (IH</w:t>
      </w:r>
      <w:r w:rsidR="00986292" w:rsidRPr="009907D4">
        <w:rPr>
          <w:sz w:val="24"/>
          <w:szCs w:val="24"/>
        </w:rPr>
        <w:t>E</w:t>
      </w:r>
      <w:r w:rsidR="003E34C8" w:rsidRPr="009907D4">
        <w:rPr>
          <w:sz w:val="24"/>
          <w:szCs w:val="24"/>
        </w:rPr>
        <w:t xml:space="preserve">) to shift to student-centered learning models supported by digital tools and resources for all disciplines. The recently published report, </w:t>
      </w:r>
      <w:hyperlink r:id="rId18">
        <w:r w:rsidR="003E34C8" w:rsidRPr="009907D4">
          <w:rPr>
            <w:color w:val="0563C1"/>
            <w:sz w:val="24"/>
            <w:szCs w:val="24"/>
            <w:u w:val="single"/>
          </w:rPr>
          <w:t>Reimagining the Role of Technology in Higher Education</w:t>
        </w:r>
      </w:hyperlink>
      <w:r w:rsidR="003E34C8" w:rsidRPr="009907D4">
        <w:rPr>
          <w:sz w:val="24"/>
          <w:szCs w:val="24"/>
        </w:rPr>
        <w:t xml:space="preserve"> proposes a student-centered higher </w:t>
      </w:r>
      <w:proofErr w:type="spellStart"/>
      <w:r w:rsidR="003E34C8" w:rsidRPr="009907D4">
        <w:rPr>
          <w:sz w:val="24"/>
          <w:szCs w:val="24"/>
        </w:rPr>
        <w:t>ed</w:t>
      </w:r>
      <w:proofErr w:type="spellEnd"/>
      <w:r w:rsidR="003E34C8" w:rsidRPr="009907D4">
        <w:rPr>
          <w:sz w:val="24"/>
          <w:szCs w:val="24"/>
        </w:rPr>
        <w:t xml:space="preserve"> ecosystem</w:t>
      </w:r>
      <w:r w:rsidR="006A2BE1" w:rsidRPr="009907D4">
        <w:rPr>
          <w:sz w:val="24"/>
          <w:szCs w:val="24"/>
        </w:rPr>
        <w:t>—</w:t>
      </w:r>
      <w:r w:rsidR="003E34C8" w:rsidRPr="009907D4">
        <w:rPr>
          <w:sz w:val="24"/>
          <w:szCs w:val="24"/>
        </w:rPr>
        <w:t xml:space="preserve">depicted in the </w:t>
      </w:r>
      <w:r w:rsidR="006A2BE1" w:rsidRPr="009907D4">
        <w:rPr>
          <w:sz w:val="24"/>
          <w:szCs w:val="24"/>
        </w:rPr>
        <w:t xml:space="preserve">accompanying </w:t>
      </w:r>
      <w:r w:rsidR="003E34C8" w:rsidRPr="009907D4">
        <w:rPr>
          <w:sz w:val="24"/>
          <w:szCs w:val="24"/>
        </w:rPr>
        <w:t xml:space="preserve">graphic. If future educators in teacher preparation programs experience student-centered learning via digital tools they are more likely to integrate such practices in their classrooms. </w:t>
      </w:r>
    </w:p>
    <w:p w14:paraId="374A089D" w14:textId="106D8005" w:rsidR="00321215" w:rsidRPr="009907D4" w:rsidRDefault="00321215" w:rsidP="00E150A1">
      <w:pPr>
        <w:spacing w:line="240" w:lineRule="auto"/>
        <w:ind w:left="-80"/>
        <w:rPr>
          <w:sz w:val="24"/>
          <w:szCs w:val="24"/>
        </w:rPr>
      </w:pPr>
    </w:p>
    <w:p w14:paraId="55E099C5" w14:textId="17C94FC2" w:rsidR="00986292" w:rsidRPr="009907D4" w:rsidRDefault="003E34C8" w:rsidP="00E150A1">
      <w:pPr>
        <w:spacing w:line="240" w:lineRule="auto"/>
        <w:ind w:left="-80"/>
        <w:rPr>
          <w:sz w:val="24"/>
          <w:szCs w:val="24"/>
        </w:rPr>
      </w:pPr>
      <w:r w:rsidRPr="009907D4">
        <w:rPr>
          <w:sz w:val="24"/>
          <w:szCs w:val="24"/>
        </w:rPr>
        <w:t xml:space="preserve">In addition, ED published the </w:t>
      </w:r>
      <w:hyperlink r:id="rId19">
        <w:r w:rsidRPr="009907D4">
          <w:rPr>
            <w:color w:val="1155CC"/>
            <w:sz w:val="24"/>
            <w:szCs w:val="24"/>
            <w:u w:val="single"/>
          </w:rPr>
          <w:t>Advancing Educational Technology in Teacher Preparation: Policy Bri</w:t>
        </w:r>
        <w:r w:rsidR="006A2BE1" w:rsidRPr="009907D4">
          <w:rPr>
            <w:color w:val="1155CC"/>
            <w:sz w:val="24"/>
            <w:szCs w:val="24"/>
            <w:u w:val="single"/>
          </w:rPr>
          <w:t>ef</w:t>
        </w:r>
      </w:hyperlink>
      <w:r w:rsidRPr="009907D4">
        <w:rPr>
          <w:sz w:val="24"/>
          <w:szCs w:val="24"/>
        </w:rPr>
        <w:t xml:space="preserve">, which identifies key challenges and solutions to the effective integration of technology in teacher preparation, provides guiding principles on how to move the field toward effective integration of technology in teacher preparation programs, and identifies areas of opportunity and collaboration for stakeholders across the field. </w:t>
      </w:r>
    </w:p>
    <w:p w14:paraId="21058252" w14:textId="59081633" w:rsidR="00E2183D" w:rsidRPr="009907D4" w:rsidRDefault="00E2183D" w:rsidP="00E150A1">
      <w:pPr>
        <w:spacing w:line="240" w:lineRule="auto"/>
        <w:ind w:left="-80"/>
        <w:rPr>
          <w:sz w:val="24"/>
          <w:szCs w:val="24"/>
        </w:rPr>
      </w:pPr>
    </w:p>
    <w:p w14:paraId="26488C7A" w14:textId="72BBCBBE" w:rsidR="00E2183D" w:rsidRPr="009907D4" w:rsidRDefault="00E2183D" w:rsidP="00150E49">
      <w:pPr>
        <w:spacing w:line="240" w:lineRule="auto"/>
        <w:ind w:left="-80"/>
        <w:outlineLvl w:val="0"/>
        <w:rPr>
          <w:b/>
          <w:sz w:val="24"/>
          <w:szCs w:val="24"/>
        </w:rPr>
      </w:pPr>
      <w:r w:rsidRPr="009907D4">
        <w:rPr>
          <w:b/>
          <w:sz w:val="24"/>
          <w:szCs w:val="24"/>
        </w:rPr>
        <w:t>Learn more about best practices for EPPs</w:t>
      </w:r>
    </w:p>
    <w:p w14:paraId="73C9C341" w14:textId="05B3BA51" w:rsidR="00E2183D" w:rsidRPr="009907D4" w:rsidRDefault="002D618A" w:rsidP="00150E49">
      <w:pPr>
        <w:spacing w:line="240" w:lineRule="auto"/>
        <w:ind w:left="-80"/>
        <w:outlineLvl w:val="0"/>
        <w:rPr>
          <w:color w:val="1155CC"/>
          <w:sz w:val="24"/>
          <w:szCs w:val="24"/>
          <w:u w:val="single"/>
        </w:rPr>
      </w:pPr>
      <w:hyperlink r:id="rId20">
        <w:r w:rsidR="00E2183D" w:rsidRPr="009907D4">
          <w:rPr>
            <w:color w:val="1155CC"/>
            <w:sz w:val="24"/>
            <w:szCs w:val="24"/>
            <w:u w:val="single"/>
          </w:rPr>
          <w:t>Advancing Educational Technology in Teacher Preparation: Policy Brief</w:t>
        </w:r>
      </w:hyperlink>
    </w:p>
    <w:p w14:paraId="5AFF7770" w14:textId="261095E7" w:rsidR="00E2183D" w:rsidRPr="009907D4" w:rsidRDefault="002D618A" w:rsidP="00150E49">
      <w:pPr>
        <w:spacing w:line="240" w:lineRule="auto"/>
        <w:ind w:left="-80"/>
        <w:outlineLvl w:val="0"/>
        <w:rPr>
          <w:b/>
          <w:color w:val="ED7D31"/>
          <w:sz w:val="24"/>
          <w:szCs w:val="24"/>
        </w:rPr>
      </w:pPr>
      <w:hyperlink r:id="rId21">
        <w:r w:rsidR="00E2183D" w:rsidRPr="009907D4">
          <w:rPr>
            <w:color w:val="0563C1"/>
            <w:sz w:val="24"/>
            <w:szCs w:val="24"/>
            <w:u w:val="single"/>
          </w:rPr>
          <w:t>Reimagining the Role of Technology in Higher Education</w:t>
        </w:r>
      </w:hyperlink>
    </w:p>
    <w:p w14:paraId="097A55B4" w14:textId="77777777" w:rsidR="00881DF8" w:rsidRDefault="00881DF8" w:rsidP="00E150A1">
      <w:pPr>
        <w:spacing w:line="240" w:lineRule="auto"/>
        <w:ind w:left="-80"/>
        <w:rPr>
          <w:b/>
          <w:color w:val="E65200"/>
          <w:sz w:val="24"/>
          <w:szCs w:val="24"/>
        </w:rPr>
      </w:pPr>
    </w:p>
    <w:p w14:paraId="7F43DD53" w14:textId="77777777" w:rsidR="002C3548" w:rsidRDefault="002C3548" w:rsidP="00150E49">
      <w:pPr>
        <w:spacing w:line="240" w:lineRule="auto"/>
        <w:ind w:left="-80"/>
        <w:outlineLvl w:val="0"/>
        <w:rPr>
          <w:b/>
          <w:color w:val="00A79D"/>
          <w:sz w:val="24"/>
          <w:szCs w:val="24"/>
        </w:rPr>
      </w:pPr>
    </w:p>
    <w:p w14:paraId="698EA4D2" w14:textId="77777777" w:rsidR="002C3548" w:rsidRDefault="002C3548" w:rsidP="00150E49">
      <w:pPr>
        <w:spacing w:line="240" w:lineRule="auto"/>
        <w:ind w:left="-80"/>
        <w:outlineLvl w:val="0"/>
        <w:rPr>
          <w:b/>
          <w:color w:val="00A79D"/>
          <w:sz w:val="24"/>
          <w:szCs w:val="24"/>
        </w:rPr>
      </w:pPr>
    </w:p>
    <w:p w14:paraId="351A826B" w14:textId="77777777" w:rsidR="008E102F" w:rsidRDefault="008E102F" w:rsidP="00150E49">
      <w:pPr>
        <w:spacing w:line="240" w:lineRule="auto"/>
        <w:ind w:left="-80"/>
        <w:outlineLvl w:val="0"/>
        <w:rPr>
          <w:b/>
          <w:color w:val="00A79D"/>
          <w:sz w:val="24"/>
          <w:szCs w:val="24"/>
        </w:rPr>
      </w:pPr>
    </w:p>
    <w:p w14:paraId="609D486C" w14:textId="03D1B558" w:rsidR="00321215" w:rsidRPr="00150E49" w:rsidRDefault="00150E49" w:rsidP="00150E49">
      <w:pPr>
        <w:spacing w:line="240" w:lineRule="auto"/>
        <w:ind w:left="-80"/>
        <w:outlineLvl w:val="0"/>
        <w:rPr>
          <w:b/>
          <w:color w:val="00A79D"/>
          <w:sz w:val="24"/>
          <w:szCs w:val="24"/>
        </w:rPr>
      </w:pPr>
      <w:r>
        <w:rPr>
          <w:b/>
          <w:color w:val="00A79D"/>
          <w:sz w:val="24"/>
          <w:szCs w:val="24"/>
        </w:rPr>
        <w:lastRenderedPageBreak/>
        <w:t>TRANSFORMING DIGITAL LEARNING</w:t>
      </w:r>
    </w:p>
    <w:p w14:paraId="0CF034D3" w14:textId="76FDD239" w:rsidR="00321215" w:rsidRPr="009907D4" w:rsidRDefault="00321215" w:rsidP="00E150A1">
      <w:pPr>
        <w:spacing w:line="240" w:lineRule="auto"/>
        <w:ind w:left="-80"/>
        <w:rPr>
          <w:b/>
          <w:color w:val="E65200"/>
          <w:sz w:val="24"/>
          <w:szCs w:val="24"/>
        </w:rPr>
      </w:pPr>
    </w:p>
    <w:p w14:paraId="61631BE7" w14:textId="04D59E80" w:rsidR="009907D4" w:rsidRDefault="009907D4" w:rsidP="00E150A1">
      <w:pPr>
        <w:spacing w:line="240" w:lineRule="auto"/>
        <w:ind w:left="-80"/>
        <w:rPr>
          <w:b/>
          <w:sz w:val="24"/>
          <w:szCs w:val="24"/>
        </w:rPr>
      </w:pPr>
      <w:r w:rsidRPr="009907D4">
        <w:rPr>
          <w:noProof/>
          <w:sz w:val="24"/>
          <w:szCs w:val="24"/>
        </w:rPr>
        <w:drawing>
          <wp:anchor distT="0" distB="0" distL="114300" distR="114300" simplePos="0" relativeHeight="251658752" behindDoc="0" locked="0" layoutInCell="1" allowOverlap="1" wp14:anchorId="09D725F4" wp14:editId="61E78170">
            <wp:simplePos x="0" y="0"/>
            <wp:positionH relativeFrom="column">
              <wp:posOffset>0</wp:posOffset>
            </wp:positionH>
            <wp:positionV relativeFrom="paragraph">
              <wp:posOffset>13970</wp:posOffset>
            </wp:positionV>
            <wp:extent cx="1828800" cy="1828800"/>
            <wp:effectExtent l="0" t="0" r="0" b="0"/>
            <wp:wrapSquare wrapText="bothSides"/>
            <wp:docPr id="5"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22"/>
                    <a:srcRect l="12500" r="12500"/>
                    <a:stretch>
                      <a:fillRect/>
                    </a:stretch>
                  </pic:blipFill>
                  <pic:spPr>
                    <a:xfrm>
                      <a:off x="0" y="0"/>
                      <a:ext cx="1828800" cy="1828800"/>
                    </a:xfrm>
                    <a:prstGeom prst="rect">
                      <a:avLst/>
                    </a:prstGeom>
                    <a:ln/>
                  </pic:spPr>
                </pic:pic>
              </a:graphicData>
            </a:graphic>
          </wp:anchor>
        </w:drawing>
      </w:r>
    </w:p>
    <w:p w14:paraId="3BC98EAF" w14:textId="77777777" w:rsidR="009907D4" w:rsidRDefault="009907D4" w:rsidP="00E150A1">
      <w:pPr>
        <w:spacing w:line="240" w:lineRule="auto"/>
        <w:ind w:left="-80"/>
        <w:rPr>
          <w:b/>
          <w:sz w:val="24"/>
          <w:szCs w:val="24"/>
          <w:highlight w:val="white"/>
        </w:rPr>
      </w:pPr>
    </w:p>
    <w:p w14:paraId="7627311B" w14:textId="324FD5CB" w:rsidR="00321215" w:rsidRPr="009907D4" w:rsidRDefault="003E34C8" w:rsidP="00150E49">
      <w:pPr>
        <w:spacing w:line="240" w:lineRule="auto"/>
        <w:ind w:left="-80"/>
        <w:outlineLvl w:val="0"/>
        <w:rPr>
          <w:b/>
          <w:color w:val="E65200"/>
          <w:sz w:val="24"/>
          <w:szCs w:val="24"/>
        </w:rPr>
      </w:pPr>
      <w:r w:rsidRPr="009907D4">
        <w:rPr>
          <w:b/>
          <w:sz w:val="24"/>
          <w:szCs w:val="24"/>
          <w:highlight w:val="white"/>
        </w:rPr>
        <w:t>Reimagining Higher Education Convening</w:t>
      </w:r>
    </w:p>
    <w:p w14:paraId="5893CA53" w14:textId="126C5B3E" w:rsidR="00321215" w:rsidRPr="009907D4" w:rsidRDefault="003E34C8" w:rsidP="00E150A1">
      <w:pPr>
        <w:spacing w:line="240" w:lineRule="auto"/>
        <w:ind w:left="-80"/>
        <w:rPr>
          <w:color w:val="333333"/>
          <w:sz w:val="24"/>
          <w:szCs w:val="24"/>
          <w:highlight w:val="white"/>
        </w:rPr>
      </w:pPr>
      <w:r w:rsidRPr="009907D4">
        <w:rPr>
          <w:color w:val="333333"/>
          <w:sz w:val="24"/>
          <w:szCs w:val="24"/>
          <w:highlight w:val="white"/>
        </w:rPr>
        <w:t>Paul Freedman, founder and CEO of Entangled Ventures, discusses their work with higher education institutions to develop new models.</w:t>
      </w:r>
    </w:p>
    <w:p w14:paraId="38C5B32F" w14:textId="3B9FF647" w:rsidR="00321215" w:rsidRPr="009907D4" w:rsidRDefault="002D618A" w:rsidP="00E150A1">
      <w:pPr>
        <w:spacing w:line="240" w:lineRule="auto"/>
        <w:ind w:left="-80"/>
        <w:rPr>
          <w:color w:val="E65200"/>
          <w:sz w:val="24"/>
          <w:szCs w:val="24"/>
        </w:rPr>
      </w:pPr>
      <w:hyperlink r:id="rId23">
        <w:r w:rsidR="003E34C8" w:rsidRPr="009907D4">
          <w:rPr>
            <w:color w:val="0563C1"/>
            <w:sz w:val="24"/>
            <w:szCs w:val="24"/>
            <w:u w:val="single"/>
          </w:rPr>
          <w:t>https://youtu.be/kAKxfFUQY4U</w:t>
        </w:r>
      </w:hyperlink>
      <w:r w:rsidR="003E34C8" w:rsidRPr="009907D4">
        <w:rPr>
          <w:color w:val="E65200"/>
          <w:sz w:val="24"/>
          <w:szCs w:val="24"/>
        </w:rPr>
        <w:t xml:space="preserve"> </w:t>
      </w:r>
    </w:p>
    <w:p w14:paraId="02B7CB9A" w14:textId="77777777" w:rsidR="00986292" w:rsidRPr="009907D4" w:rsidRDefault="00986292" w:rsidP="00E150A1">
      <w:pPr>
        <w:spacing w:line="240" w:lineRule="auto"/>
        <w:ind w:left="-80"/>
        <w:rPr>
          <w:b/>
          <w:color w:val="E65200"/>
          <w:sz w:val="24"/>
          <w:szCs w:val="24"/>
        </w:rPr>
      </w:pPr>
    </w:p>
    <w:p w14:paraId="1377F488" w14:textId="77777777" w:rsidR="00321215" w:rsidRPr="009907D4" w:rsidRDefault="00321215" w:rsidP="00E150A1">
      <w:pPr>
        <w:spacing w:line="240" w:lineRule="auto"/>
        <w:ind w:left="-80"/>
        <w:rPr>
          <w:b/>
          <w:color w:val="E65200"/>
          <w:sz w:val="24"/>
          <w:szCs w:val="24"/>
        </w:rPr>
      </w:pPr>
    </w:p>
    <w:p w14:paraId="7BECD2CE" w14:textId="5EF17AFA" w:rsidR="00321215" w:rsidRDefault="00321215" w:rsidP="00E150A1">
      <w:pPr>
        <w:spacing w:line="240" w:lineRule="auto"/>
        <w:ind w:left="-80"/>
        <w:rPr>
          <w:b/>
          <w:color w:val="E65200"/>
          <w:sz w:val="24"/>
          <w:szCs w:val="24"/>
        </w:rPr>
      </w:pPr>
    </w:p>
    <w:p w14:paraId="7107BB9C" w14:textId="77777777" w:rsidR="009907D4" w:rsidRPr="009907D4" w:rsidRDefault="009907D4" w:rsidP="00E150A1">
      <w:pPr>
        <w:spacing w:line="240" w:lineRule="auto"/>
        <w:ind w:left="-80"/>
        <w:rPr>
          <w:b/>
          <w:color w:val="E65200"/>
          <w:sz w:val="24"/>
          <w:szCs w:val="24"/>
        </w:rPr>
      </w:pPr>
    </w:p>
    <w:p w14:paraId="4CF9AE7D" w14:textId="77777777" w:rsidR="00321215" w:rsidRPr="009907D4" w:rsidRDefault="00321215" w:rsidP="00E150A1">
      <w:pPr>
        <w:spacing w:line="240" w:lineRule="auto"/>
        <w:rPr>
          <w:sz w:val="24"/>
          <w:szCs w:val="24"/>
          <w:highlight w:val="white"/>
        </w:rPr>
      </w:pPr>
    </w:p>
    <w:p w14:paraId="7448432B" w14:textId="77777777" w:rsidR="009907D4" w:rsidRDefault="009907D4" w:rsidP="00E150A1">
      <w:pPr>
        <w:spacing w:line="240" w:lineRule="auto"/>
        <w:rPr>
          <w:b/>
          <w:sz w:val="24"/>
          <w:szCs w:val="24"/>
        </w:rPr>
      </w:pPr>
    </w:p>
    <w:p w14:paraId="277F441A" w14:textId="1A7E282B" w:rsidR="009907D4" w:rsidRDefault="009907D4" w:rsidP="00E150A1">
      <w:pPr>
        <w:spacing w:line="240" w:lineRule="auto"/>
        <w:rPr>
          <w:b/>
          <w:sz w:val="24"/>
          <w:szCs w:val="24"/>
        </w:rPr>
      </w:pPr>
      <w:r w:rsidRPr="009907D4">
        <w:rPr>
          <w:noProof/>
          <w:sz w:val="24"/>
          <w:szCs w:val="24"/>
        </w:rPr>
        <w:drawing>
          <wp:anchor distT="0" distB="0" distL="114300" distR="114300" simplePos="0" relativeHeight="251661824" behindDoc="0" locked="0" layoutInCell="1" allowOverlap="1" wp14:anchorId="43C612A3" wp14:editId="5B8E49D0">
            <wp:simplePos x="0" y="0"/>
            <wp:positionH relativeFrom="column">
              <wp:posOffset>0</wp:posOffset>
            </wp:positionH>
            <wp:positionV relativeFrom="paragraph">
              <wp:posOffset>5080</wp:posOffset>
            </wp:positionV>
            <wp:extent cx="1828800" cy="1828800"/>
            <wp:effectExtent l="0" t="0" r="0" b="0"/>
            <wp:wrapSquare wrapText="bothSides"/>
            <wp:docPr id="4"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4"/>
                    <a:srcRect l="12500" r="12500"/>
                    <a:stretch>
                      <a:fillRect/>
                    </a:stretch>
                  </pic:blipFill>
                  <pic:spPr>
                    <a:xfrm>
                      <a:off x="0" y="0"/>
                      <a:ext cx="1828800" cy="1828800"/>
                    </a:xfrm>
                    <a:prstGeom prst="rect">
                      <a:avLst/>
                    </a:prstGeom>
                    <a:ln/>
                  </pic:spPr>
                </pic:pic>
              </a:graphicData>
            </a:graphic>
          </wp:anchor>
        </w:drawing>
      </w:r>
    </w:p>
    <w:p w14:paraId="192F8EF6" w14:textId="77777777" w:rsidR="009907D4" w:rsidRDefault="009907D4" w:rsidP="00E150A1">
      <w:pPr>
        <w:spacing w:line="240" w:lineRule="auto"/>
        <w:rPr>
          <w:b/>
          <w:sz w:val="24"/>
          <w:szCs w:val="24"/>
          <w:highlight w:val="white"/>
        </w:rPr>
      </w:pPr>
    </w:p>
    <w:p w14:paraId="21A7CE2C" w14:textId="389076EF" w:rsidR="00321215" w:rsidRPr="009907D4" w:rsidRDefault="003E34C8" w:rsidP="00150E49">
      <w:pPr>
        <w:spacing w:line="240" w:lineRule="auto"/>
        <w:outlineLvl w:val="0"/>
        <w:rPr>
          <w:b/>
          <w:sz w:val="24"/>
          <w:szCs w:val="24"/>
          <w:highlight w:val="white"/>
        </w:rPr>
      </w:pPr>
      <w:r w:rsidRPr="009907D4">
        <w:rPr>
          <w:b/>
          <w:sz w:val="24"/>
          <w:szCs w:val="24"/>
          <w:highlight w:val="white"/>
        </w:rPr>
        <w:t>Digital Equity and Teacher Preparation: Improving the K–12 Teaching Pipeline</w:t>
      </w:r>
    </w:p>
    <w:p w14:paraId="3D9D42E1" w14:textId="564B424C" w:rsidR="00321215" w:rsidRPr="009907D4" w:rsidRDefault="003E34C8" w:rsidP="00E150A1">
      <w:pPr>
        <w:spacing w:line="240" w:lineRule="auto"/>
        <w:rPr>
          <w:sz w:val="24"/>
          <w:szCs w:val="24"/>
        </w:rPr>
      </w:pPr>
      <w:r w:rsidRPr="009907D4">
        <w:rPr>
          <w:color w:val="333333"/>
          <w:sz w:val="24"/>
          <w:szCs w:val="24"/>
          <w:highlight w:val="white"/>
        </w:rPr>
        <w:t>This video focuses on the role of partnerships between K-12 schools and institutions of higher education (IHE’s) in training new teachers to use technology effectively.</w:t>
      </w:r>
      <w:r w:rsidRPr="009907D4">
        <w:rPr>
          <w:sz w:val="24"/>
          <w:szCs w:val="24"/>
        </w:rPr>
        <w:t xml:space="preserve"> </w:t>
      </w:r>
    </w:p>
    <w:p w14:paraId="551B83DC" w14:textId="77777777" w:rsidR="00321215" w:rsidRPr="009907D4" w:rsidRDefault="002D618A" w:rsidP="00E150A1">
      <w:pPr>
        <w:spacing w:line="240" w:lineRule="auto"/>
        <w:rPr>
          <w:color w:val="0563C1"/>
          <w:sz w:val="24"/>
          <w:szCs w:val="24"/>
          <w:u w:val="single"/>
        </w:rPr>
      </w:pPr>
      <w:hyperlink r:id="rId25">
        <w:r w:rsidR="003E34C8" w:rsidRPr="009907D4">
          <w:rPr>
            <w:color w:val="0563C1"/>
            <w:sz w:val="24"/>
            <w:szCs w:val="24"/>
            <w:u w:val="single"/>
          </w:rPr>
          <w:t>https://yout</w:t>
        </w:r>
        <w:bookmarkStart w:id="5" w:name="_GoBack"/>
        <w:bookmarkEnd w:id="5"/>
        <w:r w:rsidR="003E34C8" w:rsidRPr="009907D4">
          <w:rPr>
            <w:color w:val="0563C1"/>
            <w:sz w:val="24"/>
            <w:szCs w:val="24"/>
            <w:u w:val="single"/>
          </w:rPr>
          <w:t>u.be/V9zNs5w-vjw</w:t>
        </w:r>
      </w:hyperlink>
    </w:p>
    <w:p w14:paraId="1B9E6BC3" w14:textId="77777777" w:rsidR="00321215" w:rsidRPr="009907D4" w:rsidRDefault="00321215" w:rsidP="00E150A1">
      <w:pPr>
        <w:spacing w:line="240" w:lineRule="auto"/>
        <w:rPr>
          <w:color w:val="0563C1"/>
          <w:sz w:val="24"/>
          <w:szCs w:val="24"/>
          <w:u w:val="single"/>
        </w:rPr>
      </w:pPr>
    </w:p>
    <w:p w14:paraId="2798CD57" w14:textId="57659F90" w:rsidR="00321215" w:rsidRPr="009907D4" w:rsidRDefault="00321215" w:rsidP="00E150A1">
      <w:pPr>
        <w:spacing w:line="240" w:lineRule="auto"/>
        <w:rPr>
          <w:sz w:val="24"/>
          <w:szCs w:val="24"/>
        </w:rPr>
      </w:pPr>
    </w:p>
    <w:p w14:paraId="2C0A509B" w14:textId="77777777" w:rsidR="00321215" w:rsidRPr="009907D4" w:rsidRDefault="00321215" w:rsidP="00E150A1">
      <w:pPr>
        <w:spacing w:line="240" w:lineRule="auto"/>
        <w:rPr>
          <w:sz w:val="24"/>
          <w:szCs w:val="24"/>
        </w:rPr>
      </w:pPr>
    </w:p>
    <w:p w14:paraId="22C32786" w14:textId="5AB12D60" w:rsidR="00321215" w:rsidRPr="009907D4" w:rsidRDefault="00321215" w:rsidP="00E150A1">
      <w:pPr>
        <w:spacing w:line="240" w:lineRule="auto"/>
        <w:ind w:left="-80"/>
        <w:rPr>
          <w:sz w:val="24"/>
          <w:szCs w:val="24"/>
        </w:rPr>
      </w:pPr>
    </w:p>
    <w:p w14:paraId="3669B7DB" w14:textId="57F4E5D6" w:rsidR="009907D4" w:rsidRDefault="009907D4" w:rsidP="00E150A1">
      <w:pPr>
        <w:spacing w:line="240" w:lineRule="auto"/>
        <w:rPr>
          <w:sz w:val="24"/>
          <w:szCs w:val="24"/>
        </w:rPr>
      </w:pPr>
      <w:r>
        <w:rPr>
          <w:noProof/>
          <w:sz w:val="24"/>
          <w:szCs w:val="24"/>
        </w:rPr>
        <w:drawing>
          <wp:anchor distT="0" distB="0" distL="114300" distR="114300" simplePos="0" relativeHeight="251662848" behindDoc="0" locked="0" layoutInCell="1" allowOverlap="1" wp14:anchorId="7A551EDC" wp14:editId="4429F210">
            <wp:simplePos x="0" y="0"/>
            <wp:positionH relativeFrom="margin">
              <wp:align>left</wp:align>
            </wp:positionH>
            <wp:positionV relativeFrom="paragraph">
              <wp:posOffset>3175</wp:posOffset>
            </wp:positionV>
            <wp:extent cx="1828800" cy="1828800"/>
            <wp:effectExtent l="0" t="0" r="0" b="0"/>
            <wp:wrapSquare wrapText="bothSides"/>
            <wp:docPr id="1" name="Video 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deo 1">
                      <a:hlinkClick r:id="rId26"/>
                    </pic:cNvPr>
                    <pic:cNvPicPr/>
                  </pic:nvPicPr>
                  <pic:blipFill rotWithShape="1">
                    <a:blip r:embed="rId27">
                      <a:extLst>
                        <a:ext uri="{C809E66F-F1BF-436E-b5F7-EEA9579F0CBA}">
                          <wp15:webVideoPr xmlns:wp15="http://schemas.microsoft.com/office/word/2012/wordprocessingDrawing" embeddedHtml="&lt;iframe id=&quot;ytplayer&quot; src=&quot;https://www.youtube.com/embed/rcDpDPwRxvU&quot; frameborder=&quot;0&quot; type=&quot;text/html&quot; width=&quot;816&quot; height=&quot;480&quot; /&gt;" h="480" w="816"/>
                        </a:ext>
                      </a:extLst>
                    </a:blip>
                    <a:srcRect l="12500" r="12500"/>
                    <a:stretch/>
                  </pic:blipFill>
                  <pic:spPr bwMode="auto">
                    <a:xfrm>
                      <a:off x="0" y="0"/>
                      <a:ext cx="1828800" cy="1828800"/>
                    </a:xfrm>
                    <a:prstGeom prst="rect">
                      <a:avLst/>
                    </a:prstGeom>
                    <a:ln>
                      <a:noFill/>
                    </a:ln>
                    <a:extLst>
                      <a:ext uri="{53640926-AAD7-44D8-BBD7-CCE9431645EC}">
                        <a14:shadowObscured xmlns:a14="http://schemas.microsoft.com/office/drawing/2010/main"/>
                      </a:ext>
                    </a:extLst>
                  </pic:spPr>
                </pic:pic>
              </a:graphicData>
            </a:graphic>
          </wp:anchor>
        </w:drawing>
      </w:r>
    </w:p>
    <w:p w14:paraId="3ABFA0A3" w14:textId="77777777" w:rsidR="009907D4" w:rsidRDefault="009907D4" w:rsidP="00E150A1">
      <w:pPr>
        <w:spacing w:line="240" w:lineRule="auto"/>
        <w:rPr>
          <w:b/>
          <w:sz w:val="24"/>
          <w:szCs w:val="24"/>
        </w:rPr>
      </w:pPr>
    </w:p>
    <w:p w14:paraId="44E77194" w14:textId="57ED0402" w:rsidR="009907D4" w:rsidRPr="009907D4" w:rsidRDefault="00986292" w:rsidP="00150E49">
      <w:pPr>
        <w:spacing w:line="240" w:lineRule="auto"/>
        <w:outlineLvl w:val="0"/>
        <w:rPr>
          <w:b/>
          <w:sz w:val="24"/>
          <w:szCs w:val="24"/>
        </w:rPr>
      </w:pPr>
      <w:r w:rsidRPr="009907D4">
        <w:rPr>
          <w:b/>
          <w:sz w:val="24"/>
          <w:szCs w:val="24"/>
        </w:rPr>
        <w:t>Teache</w:t>
      </w:r>
      <w:r w:rsidR="009907D4" w:rsidRPr="009907D4">
        <w:rPr>
          <w:b/>
          <w:sz w:val="24"/>
          <w:szCs w:val="24"/>
        </w:rPr>
        <w:t>rs Create what they Experience</w:t>
      </w:r>
    </w:p>
    <w:p w14:paraId="5A269470" w14:textId="7ABD22A8" w:rsidR="00986292" w:rsidRPr="009907D4" w:rsidRDefault="00986292" w:rsidP="00E150A1">
      <w:pPr>
        <w:spacing w:line="240" w:lineRule="auto"/>
        <w:rPr>
          <w:sz w:val="24"/>
          <w:szCs w:val="24"/>
        </w:rPr>
      </w:pPr>
      <w:r w:rsidRPr="009907D4">
        <w:rPr>
          <w:sz w:val="24"/>
          <w:szCs w:val="24"/>
        </w:rPr>
        <w:t xml:space="preserve">Create a shared vision of teaching and learning. Using learning as a process and not an event. Allow authentic learning through practice, trail, and authentic activities. </w:t>
      </w:r>
      <w:hyperlink r:id="rId28" w:history="1">
        <w:r w:rsidRPr="009907D4">
          <w:rPr>
            <w:rStyle w:val="Hyperlink"/>
            <w:sz w:val="24"/>
            <w:szCs w:val="24"/>
          </w:rPr>
          <w:t>https://youtu.be/rcDpDPwRxvU</w:t>
        </w:r>
      </w:hyperlink>
    </w:p>
    <w:p w14:paraId="0A16C6B5" w14:textId="30A72A3F" w:rsidR="00986292" w:rsidRPr="009907D4" w:rsidRDefault="00986292" w:rsidP="00E150A1">
      <w:pPr>
        <w:spacing w:line="240" w:lineRule="auto"/>
        <w:ind w:left="-80"/>
        <w:rPr>
          <w:sz w:val="24"/>
          <w:szCs w:val="24"/>
        </w:rPr>
      </w:pPr>
    </w:p>
    <w:p w14:paraId="195B9127" w14:textId="77777777" w:rsidR="009907D4" w:rsidRDefault="009907D4" w:rsidP="00E150A1">
      <w:pPr>
        <w:spacing w:line="240" w:lineRule="auto"/>
        <w:rPr>
          <w:b/>
          <w:color w:val="E65200"/>
          <w:sz w:val="24"/>
          <w:szCs w:val="24"/>
        </w:rPr>
      </w:pPr>
      <w:bookmarkStart w:id="6" w:name="_Hlk485118758"/>
    </w:p>
    <w:p w14:paraId="33B028EA" w14:textId="77777777" w:rsidR="009907D4" w:rsidRDefault="009907D4" w:rsidP="00E150A1">
      <w:pPr>
        <w:spacing w:line="240" w:lineRule="auto"/>
        <w:rPr>
          <w:b/>
          <w:color w:val="E65200"/>
          <w:sz w:val="24"/>
          <w:szCs w:val="24"/>
        </w:rPr>
      </w:pPr>
    </w:p>
    <w:p w14:paraId="73760D59" w14:textId="77777777" w:rsidR="009907D4" w:rsidRDefault="009907D4" w:rsidP="00E150A1">
      <w:pPr>
        <w:spacing w:line="240" w:lineRule="auto"/>
        <w:rPr>
          <w:b/>
          <w:color w:val="E65200"/>
          <w:sz w:val="24"/>
          <w:szCs w:val="24"/>
        </w:rPr>
      </w:pPr>
    </w:p>
    <w:p w14:paraId="0C23B97A" w14:textId="77777777" w:rsidR="009907D4" w:rsidRDefault="009907D4" w:rsidP="00E150A1">
      <w:pPr>
        <w:spacing w:line="240" w:lineRule="auto"/>
        <w:rPr>
          <w:b/>
          <w:color w:val="E65200"/>
          <w:sz w:val="24"/>
          <w:szCs w:val="24"/>
        </w:rPr>
      </w:pPr>
    </w:p>
    <w:p w14:paraId="509710A9" w14:textId="77777777" w:rsidR="009907D4" w:rsidRDefault="009907D4" w:rsidP="00E150A1">
      <w:pPr>
        <w:spacing w:line="240" w:lineRule="auto"/>
        <w:rPr>
          <w:b/>
          <w:color w:val="E65200"/>
          <w:sz w:val="24"/>
          <w:szCs w:val="24"/>
        </w:rPr>
      </w:pPr>
    </w:p>
    <w:p w14:paraId="6FA3AE0B" w14:textId="05CACFEB" w:rsidR="00986292" w:rsidRPr="00150E49" w:rsidRDefault="00986292" w:rsidP="00150E49">
      <w:pPr>
        <w:spacing w:line="240" w:lineRule="auto"/>
        <w:outlineLvl w:val="0"/>
        <w:rPr>
          <w:color w:val="00A79D"/>
          <w:sz w:val="24"/>
          <w:szCs w:val="24"/>
        </w:rPr>
      </w:pPr>
      <w:r w:rsidRPr="00150E49">
        <w:rPr>
          <w:b/>
          <w:color w:val="00A79D"/>
          <w:sz w:val="24"/>
          <w:szCs w:val="24"/>
        </w:rPr>
        <w:t xml:space="preserve">COMMUNICATION PACKET </w:t>
      </w:r>
    </w:p>
    <w:p w14:paraId="7558D4C7" w14:textId="77777777" w:rsidR="00986292" w:rsidRPr="009907D4" w:rsidRDefault="00986292" w:rsidP="00E150A1">
      <w:pPr>
        <w:spacing w:line="240" w:lineRule="auto"/>
        <w:rPr>
          <w:color w:val="auto"/>
          <w:sz w:val="24"/>
          <w:szCs w:val="24"/>
        </w:rPr>
      </w:pPr>
      <w:r w:rsidRPr="009907D4">
        <w:rPr>
          <w:color w:val="auto"/>
          <w:sz w:val="24"/>
          <w:szCs w:val="24"/>
        </w:rPr>
        <w:t xml:space="preserve">The </w:t>
      </w:r>
      <w:hyperlink r:id="rId29">
        <w:r w:rsidRPr="009907D4">
          <w:rPr>
            <w:color w:val="auto"/>
            <w:sz w:val="24"/>
            <w:szCs w:val="24"/>
          </w:rPr>
          <w:t>communication packet</w:t>
        </w:r>
      </w:hyperlink>
      <w:r w:rsidRPr="009907D4">
        <w:rPr>
          <w:color w:val="auto"/>
          <w:sz w:val="24"/>
          <w:szCs w:val="24"/>
        </w:rPr>
        <w:t xml:space="preserve"> includes customizable templates. Partners can add logos, </w:t>
      </w:r>
    </w:p>
    <w:p w14:paraId="6BE7CF00" w14:textId="51DF1204" w:rsidR="00986292" w:rsidRPr="009907D4" w:rsidRDefault="00986292" w:rsidP="00E150A1">
      <w:pPr>
        <w:spacing w:line="240" w:lineRule="auto"/>
        <w:rPr>
          <w:sz w:val="24"/>
          <w:szCs w:val="24"/>
        </w:rPr>
      </w:pPr>
      <w:r w:rsidRPr="009907D4">
        <w:rPr>
          <w:sz w:val="24"/>
          <w:szCs w:val="24"/>
        </w:rPr>
        <w:lastRenderedPageBreak/>
        <w:t xml:space="preserve">examples or other resources to help engage stakeholders and support this topic. Users are encouraged to leverage these resources to support your work in engaging </w:t>
      </w:r>
      <w:r w:rsidR="009907D4">
        <w:rPr>
          <w:sz w:val="24"/>
          <w:szCs w:val="24"/>
        </w:rPr>
        <w:t xml:space="preserve">faculty and preservice teachers </w:t>
      </w:r>
      <w:r w:rsidRPr="009907D4">
        <w:rPr>
          <w:sz w:val="24"/>
          <w:szCs w:val="24"/>
        </w:rPr>
        <w:t>by providing them with the resources needed to create an ecosystem of support and learning inside and outside of school walls.</w:t>
      </w:r>
    </w:p>
    <w:p w14:paraId="36FD24D1" w14:textId="77777777" w:rsidR="00986292" w:rsidRPr="009907D4" w:rsidRDefault="00986292" w:rsidP="00E150A1">
      <w:pPr>
        <w:pStyle w:val="ListParagraph"/>
        <w:numPr>
          <w:ilvl w:val="0"/>
          <w:numId w:val="3"/>
        </w:numPr>
        <w:rPr>
          <w:szCs w:val="24"/>
        </w:rPr>
      </w:pPr>
      <w:r w:rsidRPr="009907D4">
        <w:rPr>
          <w:szCs w:val="24"/>
        </w:rPr>
        <w:t>Newsletter/website snapshot</w:t>
      </w:r>
    </w:p>
    <w:p w14:paraId="287A3C78" w14:textId="77777777" w:rsidR="00986292" w:rsidRPr="009907D4" w:rsidRDefault="00986292" w:rsidP="00E150A1">
      <w:pPr>
        <w:pStyle w:val="ListParagraph"/>
        <w:numPr>
          <w:ilvl w:val="0"/>
          <w:numId w:val="3"/>
        </w:numPr>
        <w:rPr>
          <w:szCs w:val="24"/>
        </w:rPr>
      </w:pPr>
      <w:r w:rsidRPr="009907D4">
        <w:rPr>
          <w:szCs w:val="24"/>
        </w:rPr>
        <w:t>Presentation slides to support conversations with stakeholders</w:t>
      </w:r>
    </w:p>
    <w:p w14:paraId="746E9990" w14:textId="77777777" w:rsidR="00986292" w:rsidRPr="009907D4" w:rsidRDefault="00986292" w:rsidP="00E150A1">
      <w:pPr>
        <w:pStyle w:val="ListParagraph"/>
        <w:numPr>
          <w:ilvl w:val="0"/>
          <w:numId w:val="3"/>
        </w:numPr>
        <w:rPr>
          <w:szCs w:val="24"/>
        </w:rPr>
      </w:pPr>
      <w:r w:rsidRPr="009907D4">
        <w:rPr>
          <w:szCs w:val="24"/>
        </w:rPr>
        <w:t>Social media promotion examples</w:t>
      </w:r>
    </w:p>
    <w:p w14:paraId="52061E93" w14:textId="77777777" w:rsidR="00986292" w:rsidRPr="009907D4" w:rsidRDefault="00986292" w:rsidP="00E150A1">
      <w:pPr>
        <w:pStyle w:val="ListParagraph"/>
        <w:numPr>
          <w:ilvl w:val="0"/>
          <w:numId w:val="3"/>
        </w:numPr>
        <w:rPr>
          <w:szCs w:val="24"/>
        </w:rPr>
      </w:pPr>
      <w:r w:rsidRPr="009907D4">
        <w:rPr>
          <w:szCs w:val="24"/>
        </w:rPr>
        <w:t>Press outreach</w:t>
      </w:r>
    </w:p>
    <w:p w14:paraId="4FCFD195" w14:textId="77777777" w:rsidR="00986292" w:rsidRPr="009907D4" w:rsidRDefault="00986292" w:rsidP="00E150A1">
      <w:pPr>
        <w:pStyle w:val="ListParagraph"/>
        <w:numPr>
          <w:ilvl w:val="0"/>
          <w:numId w:val="3"/>
        </w:numPr>
        <w:rPr>
          <w:szCs w:val="24"/>
        </w:rPr>
      </w:pPr>
      <w:r w:rsidRPr="009907D4">
        <w:rPr>
          <w:szCs w:val="24"/>
        </w:rPr>
        <w:t>Outreach email</w:t>
      </w:r>
    </w:p>
    <w:bookmarkEnd w:id="6"/>
    <w:p w14:paraId="180C8755" w14:textId="77777777" w:rsidR="00986292" w:rsidRPr="009907D4" w:rsidRDefault="00986292" w:rsidP="00E150A1">
      <w:pPr>
        <w:spacing w:line="240" w:lineRule="auto"/>
        <w:ind w:left="-80"/>
        <w:rPr>
          <w:sz w:val="24"/>
          <w:szCs w:val="24"/>
        </w:rPr>
      </w:pPr>
    </w:p>
    <w:sectPr w:rsidR="00986292" w:rsidRPr="009907D4">
      <w:headerReference w:type="default" r:id="rId30"/>
      <w:footerReference w:type="default" r:id="rId3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5783D" w14:textId="77777777" w:rsidR="002D618A" w:rsidRDefault="002D618A">
      <w:pPr>
        <w:spacing w:line="240" w:lineRule="auto"/>
      </w:pPr>
      <w:r>
        <w:separator/>
      </w:r>
    </w:p>
  </w:endnote>
  <w:endnote w:type="continuationSeparator" w:id="0">
    <w:p w14:paraId="42A18596" w14:textId="77777777" w:rsidR="002D618A" w:rsidRDefault="002D61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D9329" w14:textId="58E964E5" w:rsidR="00321215" w:rsidRDefault="003E34C8">
    <w:pPr>
      <w:tabs>
        <w:tab w:val="center" w:pos="4680"/>
        <w:tab w:val="right" w:pos="9360"/>
      </w:tabs>
      <w:spacing w:line="240" w:lineRule="auto"/>
      <w:jc w:val="right"/>
    </w:pPr>
    <w:r>
      <w:fldChar w:fldCharType="begin"/>
    </w:r>
    <w:r>
      <w:instrText>PAGE</w:instrText>
    </w:r>
    <w:r>
      <w:fldChar w:fldCharType="separate"/>
    </w:r>
    <w:r w:rsidR="0090711B">
      <w:rPr>
        <w:noProof/>
      </w:rPr>
      <w:t>5</w:t>
    </w:r>
    <w:r>
      <w:fldChar w:fldCharType="end"/>
    </w:r>
  </w:p>
  <w:p w14:paraId="1C63485D" w14:textId="77777777" w:rsidR="00321215" w:rsidRDefault="00321215">
    <w:pPr>
      <w:tabs>
        <w:tab w:val="center" w:pos="4680"/>
        <w:tab w:val="right" w:pos="9360"/>
      </w:tabs>
      <w:spacing w:after="1440" w:line="240" w:lineRule="auto"/>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0D19E" w14:textId="77777777" w:rsidR="002D618A" w:rsidRDefault="002D618A">
      <w:pPr>
        <w:spacing w:line="240" w:lineRule="auto"/>
      </w:pPr>
      <w:r>
        <w:separator/>
      </w:r>
    </w:p>
  </w:footnote>
  <w:footnote w:type="continuationSeparator" w:id="0">
    <w:p w14:paraId="2B46BB92" w14:textId="77777777" w:rsidR="002D618A" w:rsidRDefault="002D618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BC096" w14:textId="77777777" w:rsidR="00321215" w:rsidRDefault="00321215">
    <w:pPr>
      <w:tabs>
        <w:tab w:val="center" w:pos="4680"/>
        <w:tab w:val="right" w:pos="9360"/>
      </w:tabs>
      <w:spacing w:line="240"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31BF8"/>
    <w:multiLevelType w:val="multilevel"/>
    <w:tmpl w:val="4D74C382"/>
    <w:lvl w:ilvl="0">
      <w:start w:val="1"/>
      <w:numFmt w:val="bullet"/>
      <w:lvlText w:val="-"/>
      <w:lvlJc w:val="left"/>
      <w:pPr>
        <w:ind w:left="720" w:firstLine="360"/>
      </w:pPr>
      <w:rPr>
        <w:rFonts w:ascii="Arial" w:eastAsia="Arial" w:hAnsi="Arial" w:cs="Arial"/>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7AB82F0E"/>
    <w:multiLevelType w:val="multilevel"/>
    <w:tmpl w:val="B3E4EA5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
    <w:nsid w:val="7FB769F8"/>
    <w:multiLevelType w:val="hybridMultilevel"/>
    <w:tmpl w:val="1F84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215"/>
    <w:rsid w:val="000D47E2"/>
    <w:rsid w:val="00150E49"/>
    <w:rsid w:val="00176BE1"/>
    <w:rsid w:val="001926E6"/>
    <w:rsid w:val="002C3548"/>
    <w:rsid w:val="002D618A"/>
    <w:rsid w:val="00321215"/>
    <w:rsid w:val="003B6E0E"/>
    <w:rsid w:val="003E34C8"/>
    <w:rsid w:val="004D15D4"/>
    <w:rsid w:val="00546FC2"/>
    <w:rsid w:val="00684053"/>
    <w:rsid w:val="006A2BE1"/>
    <w:rsid w:val="00703076"/>
    <w:rsid w:val="0074515C"/>
    <w:rsid w:val="00767C0F"/>
    <w:rsid w:val="00881DF8"/>
    <w:rsid w:val="008E102F"/>
    <w:rsid w:val="0090711B"/>
    <w:rsid w:val="00986292"/>
    <w:rsid w:val="009907D4"/>
    <w:rsid w:val="00A34DD4"/>
    <w:rsid w:val="00B94C25"/>
    <w:rsid w:val="00D016FD"/>
    <w:rsid w:val="00D24B9B"/>
    <w:rsid w:val="00DD2039"/>
    <w:rsid w:val="00E150A1"/>
    <w:rsid w:val="00E2183D"/>
    <w:rsid w:val="00EB6332"/>
    <w:rsid w:val="00F36FB5"/>
    <w:rsid w:val="00F53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48C0BA"/>
  <w15:docId w15:val="{7A2DA1A0-57FF-4EA4-BF88-58352BDA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widowControl w:val="0"/>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926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6E6"/>
    <w:rPr>
      <w:rFonts w:ascii="Segoe UI" w:hAnsi="Segoe UI" w:cs="Segoe UI"/>
      <w:sz w:val="18"/>
      <w:szCs w:val="18"/>
    </w:rPr>
  </w:style>
  <w:style w:type="character" w:styleId="Hyperlink">
    <w:name w:val="Hyperlink"/>
    <w:basedOn w:val="DefaultParagraphFont"/>
    <w:uiPriority w:val="99"/>
    <w:unhideWhenUsed/>
    <w:rsid w:val="00D24B9B"/>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986292"/>
    <w:rPr>
      <w:b/>
      <w:bCs/>
    </w:rPr>
  </w:style>
  <w:style w:type="character" w:customStyle="1" w:styleId="CommentSubjectChar">
    <w:name w:val="Comment Subject Char"/>
    <w:basedOn w:val="CommentTextChar"/>
    <w:link w:val="CommentSubject"/>
    <w:uiPriority w:val="99"/>
    <w:semiHidden/>
    <w:rsid w:val="00986292"/>
    <w:rPr>
      <w:b/>
      <w:bCs/>
      <w:sz w:val="20"/>
      <w:szCs w:val="20"/>
    </w:rPr>
  </w:style>
  <w:style w:type="character" w:customStyle="1" w:styleId="UnresolvedMention1">
    <w:name w:val="Unresolved Mention1"/>
    <w:basedOn w:val="DefaultParagraphFont"/>
    <w:uiPriority w:val="99"/>
    <w:semiHidden/>
    <w:unhideWhenUsed/>
    <w:rsid w:val="00986292"/>
    <w:rPr>
      <w:color w:val="808080"/>
      <w:shd w:val="clear" w:color="auto" w:fill="E6E6E6"/>
    </w:rPr>
  </w:style>
  <w:style w:type="paragraph" w:styleId="ListParagraph">
    <w:name w:val="List Paragraph"/>
    <w:basedOn w:val="Normal"/>
    <w:uiPriority w:val="34"/>
    <w:qFormat/>
    <w:rsid w:val="00986292"/>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sz w:val="24"/>
    </w:rPr>
  </w:style>
  <w:style w:type="character" w:styleId="FollowedHyperlink">
    <w:name w:val="FollowedHyperlink"/>
    <w:basedOn w:val="DefaultParagraphFont"/>
    <w:uiPriority w:val="99"/>
    <w:semiHidden/>
    <w:unhideWhenUsed/>
    <w:rsid w:val="009907D4"/>
    <w:rPr>
      <w:color w:val="954F72" w:themeColor="followedHyperlink"/>
      <w:u w:val="single"/>
    </w:rPr>
  </w:style>
  <w:style w:type="paragraph" w:styleId="DocumentMap">
    <w:name w:val="Document Map"/>
    <w:basedOn w:val="Normal"/>
    <w:link w:val="DocumentMapChar"/>
    <w:uiPriority w:val="99"/>
    <w:semiHidden/>
    <w:unhideWhenUsed/>
    <w:rsid w:val="00150E49"/>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50E4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tech.ed.gov/teacherprep/" TargetMode="External"/><Relationship Id="rId21" Type="http://schemas.openxmlformats.org/officeDocument/2006/relationships/hyperlink" Target="https://tech.ed.gov/files/2017/01/Higher-Ed-NETP.pdf" TargetMode="External"/><Relationship Id="rId22" Type="http://schemas.openxmlformats.org/officeDocument/2006/relationships/image" Target="media/image5.jpg"/><Relationship Id="rId23" Type="http://schemas.openxmlformats.org/officeDocument/2006/relationships/hyperlink" Target="https://youtu.be/kAKxfFUQY4U" TargetMode="External"/><Relationship Id="rId24" Type="http://schemas.openxmlformats.org/officeDocument/2006/relationships/image" Target="media/image6.jpg"/><Relationship Id="rId25" Type="http://schemas.openxmlformats.org/officeDocument/2006/relationships/hyperlink" Target="https://youtu.be/V9zNs5w-vjw" TargetMode="External"/><Relationship Id="rId26" Type="http://schemas.openxmlformats.org/officeDocument/2006/relationships/hyperlink" Target="https://www.youtube.com/watch?v=rcDpDPwRxvU" TargetMode="External"/><Relationship Id="rId27" Type="http://schemas.openxmlformats.org/officeDocument/2006/relationships/image" Target="media/image7.jpg"/><Relationship Id="rId28" Type="http://schemas.openxmlformats.org/officeDocument/2006/relationships/hyperlink" Target="https://youtu.be/rcDpDPwRxvU" TargetMode="External"/><Relationship Id="rId29" Type="http://schemas.openxmlformats.org/officeDocument/2006/relationships/hyperlink" Target="https://docs.google.com/document/d/1besaASQcRf-bdgmlvHLy5ZMBySAwnvn_5O20nCuUSGw/edit"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fontTable" Target="fontTable.xml"/><Relationship Id="rId9" Type="http://schemas.openxmlformats.org/officeDocument/2006/relationships/hyperlink" Target="https://www2.ed.gov/policy/elsec/leg/essa/essassaegrantguid10212016.pdf" TargetMode="Externa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ed.gov/essa" TargetMode="External"/><Relationship Id="rId33" Type="http://schemas.openxmlformats.org/officeDocument/2006/relationships/theme" Target="theme/theme1.xml"/><Relationship Id="rId10" Type="http://schemas.openxmlformats.org/officeDocument/2006/relationships/hyperlink" Target="https://tech.ed.gov/files/2017/01/NETP17.pdf" TargetMode="External"/><Relationship Id="rId11" Type="http://schemas.openxmlformats.org/officeDocument/2006/relationships/hyperlink" Target="http://caepnet.org/standards/standard-1" TargetMode="External"/><Relationship Id="rId12" Type="http://schemas.openxmlformats.org/officeDocument/2006/relationships/hyperlink" Target="http://www.nasbe.org/wp-content/uploads/Born-in-Another-Time-NASBE-full-report.pdf" TargetMode="External"/><Relationship Id="rId13" Type="http://schemas.openxmlformats.org/officeDocument/2006/relationships/image" Target="media/image2.png"/><Relationship Id="rId14" Type="http://schemas.openxmlformats.org/officeDocument/2006/relationships/hyperlink" Target="https://aacte.org/" TargetMode="External"/><Relationship Id="rId15" Type="http://schemas.openxmlformats.org/officeDocument/2006/relationships/hyperlink" Target="https://tech.ed.gov/futureready/professional-learning/" TargetMode="External"/><Relationship Id="rId16" Type="http://schemas.openxmlformats.org/officeDocument/2006/relationships/image" Target="media/image3.png"/><Relationship Id="rId17" Type="http://schemas.openxmlformats.org/officeDocument/2006/relationships/image" Target="media/image4.png"/><Relationship Id="rId18" Type="http://schemas.openxmlformats.org/officeDocument/2006/relationships/hyperlink" Target="https://tech.ed.gov/files/2017/01/Higher-Ed-NETP.pdf" TargetMode="External"/><Relationship Id="rId19" Type="http://schemas.openxmlformats.org/officeDocument/2006/relationships/hyperlink" Target="https://tech.ed.gov/teacherpr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1352</Words>
  <Characters>7709</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Jones</dc:creator>
  <cp:lastModifiedBy>Lauren Jenkins</cp:lastModifiedBy>
  <cp:revision>17</cp:revision>
  <dcterms:created xsi:type="dcterms:W3CDTF">2017-07-06T16:21:00Z</dcterms:created>
  <dcterms:modified xsi:type="dcterms:W3CDTF">2018-04-24T17:36:00Z</dcterms:modified>
</cp:coreProperties>
</file>