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3071A9" w14:textId="126F8946" w:rsidR="00A61126" w:rsidRPr="002C4B08" w:rsidRDefault="005F1988">
      <w:pPr>
        <w:spacing w:line="240" w:lineRule="auto"/>
        <w:ind w:left="-80"/>
        <w:rPr>
          <w:b/>
          <w:sz w:val="24"/>
          <w:szCs w:val="24"/>
        </w:rPr>
      </w:pPr>
      <w:r>
        <w:rPr>
          <w:b/>
          <w:noProof/>
          <w:sz w:val="24"/>
          <w:szCs w:val="24"/>
        </w:rPr>
        <w:drawing>
          <wp:inline distT="0" distB="0" distL="0" distR="0" wp14:anchorId="5BF1F29B" wp14:editId="3558B4D8">
            <wp:extent cx="5160264"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DL_logo.png"/>
                    <pic:cNvPicPr/>
                  </pic:nvPicPr>
                  <pic:blipFill>
                    <a:blip r:embed="rId7">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23856E63" w14:textId="77777777" w:rsidR="004A594B" w:rsidRPr="002C4B08" w:rsidRDefault="004A594B">
      <w:pPr>
        <w:spacing w:line="240" w:lineRule="auto"/>
        <w:ind w:left="-80"/>
        <w:rPr>
          <w:b/>
          <w:color w:val="E65200"/>
          <w:sz w:val="24"/>
          <w:szCs w:val="24"/>
        </w:rPr>
      </w:pPr>
    </w:p>
    <w:p w14:paraId="50E88788" w14:textId="77777777" w:rsidR="00A61126" w:rsidRPr="005F1988" w:rsidRDefault="0057420E" w:rsidP="005F1988">
      <w:pPr>
        <w:spacing w:line="240" w:lineRule="auto"/>
        <w:ind w:left="-80"/>
        <w:outlineLvl w:val="0"/>
        <w:rPr>
          <w:b/>
          <w:color w:val="00A79D"/>
          <w:sz w:val="24"/>
          <w:szCs w:val="24"/>
        </w:rPr>
      </w:pPr>
      <w:r w:rsidRPr="005F1988">
        <w:rPr>
          <w:b/>
          <w:color w:val="00A79D"/>
          <w:sz w:val="24"/>
          <w:szCs w:val="24"/>
        </w:rPr>
        <w:t>SUPERINTENDENT COMMUNICATION TOOLKIT</w:t>
      </w:r>
    </w:p>
    <w:p w14:paraId="03A455C2" w14:textId="161500F4" w:rsidR="004A594B" w:rsidRPr="002C4B08" w:rsidRDefault="0057420E" w:rsidP="004A594B">
      <w:pPr>
        <w:spacing w:line="240" w:lineRule="auto"/>
        <w:ind w:left="-80"/>
        <w:rPr>
          <w:sz w:val="24"/>
          <w:szCs w:val="24"/>
        </w:rPr>
      </w:pPr>
      <w:r w:rsidRPr="002C4B08">
        <w:rPr>
          <w:sz w:val="24"/>
          <w:szCs w:val="24"/>
        </w:rPr>
        <w:t xml:space="preserve">This toolkit describes the role of the superintendent in supporting revolutionizing learning in the digital age to help ensure that students are college and career ready. Specifically, superintendents can work with state, district and school level educators to support learning through collaborative leadership. </w:t>
      </w:r>
      <w:r w:rsidR="004A594B" w:rsidRPr="002C4B08">
        <w:rPr>
          <w:sz w:val="24"/>
          <w:szCs w:val="24"/>
        </w:rPr>
        <w:t xml:space="preserve">This resource includes a communications packet with sample documents </w:t>
      </w:r>
      <w:bookmarkStart w:id="0" w:name="_Hlk485119545"/>
      <w:r w:rsidR="004A594B" w:rsidRPr="002C4B08">
        <w:rPr>
          <w:sz w:val="24"/>
          <w:szCs w:val="24"/>
        </w:rPr>
        <w:t>that are customizable for you to use as you support s</w:t>
      </w:r>
      <w:r w:rsidR="00195566">
        <w:rPr>
          <w:sz w:val="24"/>
          <w:szCs w:val="24"/>
        </w:rPr>
        <w:t>uperintendents</w:t>
      </w:r>
      <w:r w:rsidR="004A594B" w:rsidRPr="002C4B08">
        <w:rPr>
          <w:sz w:val="24"/>
          <w:szCs w:val="24"/>
        </w:rPr>
        <w:t xml:space="preserve">. </w:t>
      </w:r>
      <w:bookmarkStart w:id="1" w:name="_Hlk485135953"/>
    </w:p>
    <w:p w14:paraId="527AB5CA" w14:textId="77777777" w:rsidR="004A594B" w:rsidRPr="002C4B08" w:rsidRDefault="004A594B" w:rsidP="004A594B">
      <w:pPr>
        <w:spacing w:line="240" w:lineRule="auto"/>
        <w:ind w:left="-80"/>
        <w:rPr>
          <w:sz w:val="24"/>
          <w:szCs w:val="24"/>
        </w:rPr>
      </w:pPr>
    </w:p>
    <w:p w14:paraId="489CD6B5" w14:textId="77777777" w:rsidR="004A594B" w:rsidRPr="005F1988" w:rsidRDefault="004A594B" w:rsidP="005F1988">
      <w:pPr>
        <w:spacing w:line="240" w:lineRule="auto"/>
        <w:ind w:left="-80"/>
        <w:outlineLvl w:val="0"/>
        <w:rPr>
          <w:b/>
          <w:color w:val="00A79D"/>
          <w:sz w:val="24"/>
          <w:szCs w:val="24"/>
        </w:rPr>
      </w:pPr>
      <w:r w:rsidRPr="005F1988">
        <w:rPr>
          <w:b/>
          <w:color w:val="00A79D"/>
          <w:sz w:val="24"/>
          <w:szCs w:val="24"/>
        </w:rPr>
        <w:t>LEARNING IN THE DIGITAL AGE</w:t>
      </w:r>
    </w:p>
    <w:p w14:paraId="43E5ACCE" w14:textId="5EB4B203" w:rsidR="004A594B" w:rsidRDefault="004A594B" w:rsidP="004A594B">
      <w:pPr>
        <w:spacing w:line="240" w:lineRule="auto"/>
        <w:ind w:left="-80"/>
        <w:rPr>
          <w:sz w:val="24"/>
          <w:szCs w:val="24"/>
        </w:rPr>
      </w:pPr>
      <w:r w:rsidRPr="002C4B08">
        <w:rPr>
          <w:sz w:val="24"/>
          <w:szCs w:val="24"/>
        </w:rPr>
        <w:t>Technology is an essential component of learning today. With digital applications, tools and resources, students can create content, interact with experts, collaborate with peers and participate in simulation activities. Personalized experiences put students at the</w:t>
      </w:r>
      <w:r w:rsidR="002864EB">
        <w:rPr>
          <w:sz w:val="24"/>
          <w:szCs w:val="24"/>
        </w:rPr>
        <w:t xml:space="preserve"> center of learning and empower</w:t>
      </w:r>
      <w:r w:rsidRPr="002C4B08">
        <w:rPr>
          <w:sz w:val="24"/>
          <w:szCs w:val="24"/>
        </w:rPr>
        <w:t xml:space="preserve"> students to take control of their own learning through flexibility and choice. The </w:t>
      </w:r>
      <w:hyperlink r:id="rId8">
        <w:r w:rsidRPr="002C4B08">
          <w:rPr>
            <w:color w:val="0000FF"/>
            <w:sz w:val="24"/>
            <w:szCs w:val="24"/>
            <w:u w:val="single"/>
          </w:rPr>
          <w:t>Every Student Succeeds Act (ESSA)</w:t>
        </w:r>
      </w:hyperlink>
      <w:r w:rsidRPr="002C4B08">
        <w:rPr>
          <w:sz w:val="24"/>
          <w:szCs w:val="24"/>
        </w:rPr>
        <w:t xml:space="preserve"> acknowledges technology’s role in revolutionizing learning and includes definitions for digital learning and blended learning, and references technology </w:t>
      </w:r>
      <w:r w:rsidR="002864EB">
        <w:rPr>
          <w:sz w:val="24"/>
          <w:szCs w:val="24"/>
        </w:rPr>
        <w:t>throughout the legislation. T</w:t>
      </w:r>
      <w:r w:rsidRPr="002C4B08">
        <w:rPr>
          <w:sz w:val="24"/>
          <w:szCs w:val="24"/>
        </w:rPr>
        <w:t xml:space="preserve">he </w:t>
      </w:r>
      <w:hyperlink r:id="rId9" w:history="1">
        <w:r w:rsidRPr="002C4B08">
          <w:rPr>
            <w:rStyle w:val="Hyperlink"/>
            <w:sz w:val="24"/>
            <w:szCs w:val="24"/>
          </w:rPr>
          <w:t>Non-Regulatory Guidance Student Support and Academic Enrichment Grants</w:t>
        </w:r>
      </w:hyperlink>
      <w:r w:rsidRPr="002C4B08">
        <w:rPr>
          <w:sz w:val="24"/>
          <w:szCs w:val="24"/>
        </w:rPr>
        <w:t xml:space="preserve"> publication provides an overview of activities LEAs may consider as they prepare for implementation of the effective use of technology (ESEA Section 4109). Specific activities include: supporting high-quality professional development for educators, school leaders, and administrators to personalize learning and improve academic achievement; building technological capacity and infrastructure; carrying out innovative blended learning projects; providing students in rural, remote, and underserved areas with the resources to benefit from high-quality digital learning opportunities; and delivering specialized or rigorous academic courses and curricula using technology, including digital learning technologies. Similarly, the </w:t>
      </w:r>
      <w:hyperlink r:id="rId10">
        <w:r w:rsidRPr="002C4B08">
          <w:rPr>
            <w:color w:val="0000FF"/>
            <w:sz w:val="24"/>
            <w:szCs w:val="24"/>
            <w:u w:val="single"/>
          </w:rPr>
          <w:t>National Education Technology Plan (NETP)</w:t>
        </w:r>
      </w:hyperlink>
      <w:r w:rsidRPr="002C4B08">
        <w:rPr>
          <w:sz w:val="24"/>
          <w:szCs w:val="24"/>
        </w:rPr>
        <w:t xml:space="preserve"> calls for a “revolutionary transformation rather than evolutionary tinkering” in education and recognizes that we must leverage technology to provide engaging and powerful learning experiences for all students. Technology offers all students – urban, rural, low-income, ESL, special needs, high achieving – the opportunity to engage in dynamic learning activities. Education leaders at the federal, state, and local level have the opportunity to provide leadership to ensure that all students have personalized, engaging learning experiences.</w:t>
      </w:r>
      <w:bookmarkStart w:id="2" w:name="_Hlk485035987"/>
      <w:bookmarkEnd w:id="0"/>
      <w:bookmarkEnd w:id="1"/>
    </w:p>
    <w:p w14:paraId="271E8049" w14:textId="77777777" w:rsidR="005F1988" w:rsidRPr="002C4B08" w:rsidRDefault="005F1988" w:rsidP="004A594B">
      <w:pPr>
        <w:spacing w:line="240" w:lineRule="auto"/>
        <w:ind w:left="-80"/>
        <w:rPr>
          <w:sz w:val="24"/>
          <w:szCs w:val="24"/>
        </w:rPr>
      </w:pPr>
    </w:p>
    <w:bookmarkEnd w:id="2"/>
    <w:p w14:paraId="5D232683" w14:textId="77777777" w:rsidR="00A61126" w:rsidRPr="005F1988" w:rsidRDefault="0057420E" w:rsidP="005F1988">
      <w:pPr>
        <w:spacing w:line="240" w:lineRule="auto"/>
        <w:ind w:left="-80"/>
        <w:outlineLvl w:val="0"/>
        <w:rPr>
          <w:color w:val="00A79D"/>
          <w:sz w:val="24"/>
          <w:szCs w:val="24"/>
        </w:rPr>
      </w:pPr>
      <w:r w:rsidRPr="005F1988">
        <w:rPr>
          <w:b/>
          <w:color w:val="00A79D"/>
          <w:sz w:val="24"/>
          <w:szCs w:val="24"/>
        </w:rPr>
        <w:t>ROLE TO SUPPORT LEARNING IN THE DIGITAL AGE</w:t>
      </w:r>
    </w:p>
    <w:p w14:paraId="28895AF7" w14:textId="3AF2D959" w:rsidR="004A594B" w:rsidRDefault="0057420E" w:rsidP="004A594B">
      <w:pPr>
        <w:spacing w:line="240" w:lineRule="auto"/>
        <w:ind w:left="-86"/>
        <w:rPr>
          <w:sz w:val="24"/>
          <w:szCs w:val="24"/>
        </w:rPr>
      </w:pPr>
      <w:r w:rsidRPr="002C4B08">
        <w:rPr>
          <w:sz w:val="24"/>
          <w:szCs w:val="24"/>
        </w:rPr>
        <w:t xml:space="preserve">As schools move towards digital learning environments, </w:t>
      </w:r>
      <w:r w:rsidR="004A594B" w:rsidRPr="002C4B08">
        <w:rPr>
          <w:sz w:val="24"/>
          <w:szCs w:val="24"/>
        </w:rPr>
        <w:t>s</w:t>
      </w:r>
      <w:r w:rsidRPr="002C4B08">
        <w:rPr>
          <w:sz w:val="24"/>
          <w:szCs w:val="24"/>
        </w:rPr>
        <w:t>uperintendents play a key role in developing a vision for student learning. Looking across district agencies, there are many leaders who are or should be involved in discussions and planning around digital learning</w:t>
      </w:r>
      <w:r w:rsidR="001F081A" w:rsidRPr="002C4B08">
        <w:rPr>
          <w:sz w:val="24"/>
          <w:szCs w:val="24"/>
        </w:rPr>
        <w:t>, including the chief a</w:t>
      </w:r>
      <w:r w:rsidRPr="002C4B08">
        <w:rPr>
          <w:sz w:val="24"/>
          <w:szCs w:val="24"/>
        </w:rPr>
        <w:t xml:space="preserve">cademic </w:t>
      </w:r>
      <w:r w:rsidR="001F081A" w:rsidRPr="002C4B08">
        <w:rPr>
          <w:sz w:val="24"/>
          <w:szCs w:val="24"/>
        </w:rPr>
        <w:t>o</w:t>
      </w:r>
      <w:r w:rsidRPr="002C4B08">
        <w:rPr>
          <w:sz w:val="24"/>
          <w:szCs w:val="24"/>
        </w:rPr>
        <w:t>fficer</w:t>
      </w:r>
      <w:r w:rsidR="001F081A" w:rsidRPr="002C4B08">
        <w:rPr>
          <w:sz w:val="24"/>
          <w:szCs w:val="24"/>
        </w:rPr>
        <w:t xml:space="preserve">, chief technology officer, chief financial </w:t>
      </w:r>
      <w:r w:rsidR="001F081A" w:rsidRPr="002C4B08">
        <w:rPr>
          <w:sz w:val="24"/>
          <w:szCs w:val="24"/>
        </w:rPr>
        <w:lastRenderedPageBreak/>
        <w:t xml:space="preserve">officer, instructional materials leader and special education leader. </w:t>
      </w:r>
      <w:r w:rsidRPr="002C4B08">
        <w:rPr>
          <w:sz w:val="24"/>
          <w:szCs w:val="24"/>
        </w:rPr>
        <w:t xml:space="preserve">Initiating the planning process with a shared vision serves as a firm compass point for how technology will support teaching and learning goals. Unlike a consensus in which everyone agrees, developing a shared vision represents buy-in from all stakeholders </w:t>
      </w:r>
      <w:r w:rsidR="001F081A" w:rsidRPr="002C4B08">
        <w:rPr>
          <w:sz w:val="24"/>
          <w:szCs w:val="24"/>
        </w:rPr>
        <w:t>and s</w:t>
      </w:r>
      <w:r w:rsidRPr="002C4B08">
        <w:rPr>
          <w:sz w:val="24"/>
          <w:szCs w:val="24"/>
        </w:rPr>
        <w:t>uperintendents play a key role in making this happen--involving the right people at the right time.</w:t>
      </w:r>
    </w:p>
    <w:p w14:paraId="1188F25E" w14:textId="1910AEB9" w:rsidR="005A093E" w:rsidRDefault="005A093E" w:rsidP="004A594B">
      <w:pPr>
        <w:spacing w:line="240" w:lineRule="auto"/>
        <w:ind w:left="-86"/>
        <w:rPr>
          <w:sz w:val="24"/>
          <w:szCs w:val="24"/>
        </w:rPr>
      </w:pPr>
    </w:p>
    <w:p w14:paraId="404434A8" w14:textId="6A99E442" w:rsidR="00837493" w:rsidRPr="005F1988" w:rsidRDefault="00837493" w:rsidP="005F1988">
      <w:pPr>
        <w:spacing w:line="240" w:lineRule="auto"/>
        <w:ind w:left="-86"/>
        <w:outlineLvl w:val="0"/>
        <w:rPr>
          <w:b/>
          <w:color w:val="00A79D"/>
          <w:sz w:val="24"/>
          <w:szCs w:val="24"/>
        </w:rPr>
      </w:pPr>
      <w:r w:rsidRPr="005F1988">
        <w:rPr>
          <w:b/>
          <w:color w:val="00A79D"/>
          <w:sz w:val="24"/>
          <w:szCs w:val="24"/>
        </w:rPr>
        <w:t>KEY AREAS FOR SUPERINTENDENTS</w:t>
      </w:r>
    </w:p>
    <w:p w14:paraId="13A4EA33" w14:textId="77777777" w:rsidR="00837493" w:rsidRPr="002C4B08" w:rsidRDefault="00837493" w:rsidP="00837493">
      <w:pPr>
        <w:spacing w:line="240" w:lineRule="auto"/>
        <w:ind w:left="-86"/>
        <w:rPr>
          <w:sz w:val="24"/>
          <w:szCs w:val="24"/>
        </w:rPr>
      </w:pPr>
      <w:r w:rsidRPr="002C4B08">
        <w:rPr>
          <w:sz w:val="24"/>
          <w:szCs w:val="24"/>
        </w:rPr>
        <w:t xml:space="preserve">This section highlights some of the key areas of interest that superintendents might </w:t>
      </w:r>
      <w:r w:rsidR="00063716" w:rsidRPr="002C4B08">
        <w:rPr>
          <w:sz w:val="24"/>
          <w:szCs w:val="24"/>
        </w:rPr>
        <w:t xml:space="preserve">encounter </w:t>
      </w:r>
      <w:r w:rsidRPr="002C4B08">
        <w:rPr>
          <w:sz w:val="24"/>
          <w:szCs w:val="24"/>
        </w:rPr>
        <w:t>during the transition to learning in the digital age.</w:t>
      </w:r>
      <w:r w:rsidR="00063716" w:rsidRPr="002C4B08">
        <w:rPr>
          <w:sz w:val="24"/>
          <w:szCs w:val="24"/>
        </w:rPr>
        <w:t xml:space="preserve"> </w:t>
      </w:r>
      <w:r w:rsidRPr="002C4B08">
        <w:rPr>
          <w:sz w:val="24"/>
          <w:szCs w:val="24"/>
        </w:rPr>
        <w:t xml:space="preserve">They include collaborative leadership, </w:t>
      </w:r>
      <w:r w:rsidR="002C4B08" w:rsidRPr="002C4B08">
        <w:rPr>
          <w:sz w:val="24"/>
          <w:szCs w:val="24"/>
        </w:rPr>
        <w:t xml:space="preserve">budgeting, data privacy and security </w:t>
      </w:r>
      <w:r w:rsidRPr="002C4B08">
        <w:rPr>
          <w:sz w:val="24"/>
          <w:szCs w:val="24"/>
        </w:rPr>
        <w:t>and the homework gap.</w:t>
      </w:r>
    </w:p>
    <w:p w14:paraId="3A9EDFF3" w14:textId="77777777" w:rsidR="00A61126" w:rsidRPr="002C4B08" w:rsidRDefault="00A61126">
      <w:pPr>
        <w:spacing w:line="240" w:lineRule="auto"/>
        <w:rPr>
          <w:sz w:val="24"/>
          <w:szCs w:val="24"/>
        </w:rPr>
      </w:pPr>
    </w:p>
    <w:p w14:paraId="7C023821" w14:textId="185BC5A2" w:rsidR="00762BC7" w:rsidRPr="002C4B08" w:rsidRDefault="00762BC7">
      <w:pPr>
        <w:spacing w:line="240" w:lineRule="auto"/>
        <w:ind w:left="-86"/>
        <w:rPr>
          <w:sz w:val="24"/>
          <w:szCs w:val="24"/>
        </w:rPr>
      </w:pPr>
      <w:bookmarkStart w:id="3" w:name="_1fob9te" w:colFirst="0" w:colLast="0"/>
      <w:bookmarkEnd w:id="3"/>
    </w:p>
    <w:p w14:paraId="7C30356F" w14:textId="50ACE0FB" w:rsidR="00762BC7" w:rsidRPr="005F1988" w:rsidRDefault="005F1988" w:rsidP="005F1988">
      <w:pPr>
        <w:spacing w:line="240" w:lineRule="auto"/>
        <w:ind w:left="-86"/>
        <w:outlineLvl w:val="0"/>
        <w:rPr>
          <w:b/>
          <w:color w:val="00A79D"/>
          <w:sz w:val="24"/>
          <w:szCs w:val="24"/>
        </w:rPr>
      </w:pPr>
      <w:r>
        <w:rPr>
          <w:b/>
          <w:noProof/>
          <w:color w:val="00A79D"/>
          <w:sz w:val="24"/>
          <w:szCs w:val="24"/>
        </w:rPr>
        <w:drawing>
          <wp:anchor distT="0" distB="0" distL="114300" distR="114300" simplePos="0" relativeHeight="251675136" behindDoc="0" locked="0" layoutInCell="1" allowOverlap="1" wp14:anchorId="10EC3A6C" wp14:editId="2917BFCF">
            <wp:simplePos x="0" y="0"/>
            <wp:positionH relativeFrom="column">
              <wp:posOffset>-50800</wp:posOffset>
            </wp:positionH>
            <wp:positionV relativeFrom="paragraph">
              <wp:posOffset>5715</wp:posOffset>
            </wp:positionV>
            <wp:extent cx="1371600" cy="137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laborative_leadership2.png"/>
                    <pic:cNvPicPr/>
                  </pic:nvPicPr>
                  <pic:blipFill>
                    <a:blip r:embed="rId1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762BC7" w:rsidRPr="005F1988">
        <w:rPr>
          <w:b/>
          <w:color w:val="00A79D"/>
          <w:sz w:val="24"/>
          <w:szCs w:val="24"/>
        </w:rPr>
        <w:t>Collaborative Leadership</w:t>
      </w:r>
    </w:p>
    <w:p w14:paraId="607ECF72" w14:textId="110E8C12" w:rsidR="00762BC7" w:rsidRPr="002C4B08" w:rsidRDefault="00762BC7">
      <w:pPr>
        <w:spacing w:line="240" w:lineRule="auto"/>
        <w:ind w:left="-86"/>
        <w:rPr>
          <w:b/>
          <w:sz w:val="24"/>
          <w:szCs w:val="24"/>
        </w:rPr>
      </w:pPr>
      <w:r w:rsidRPr="002C4B08">
        <w:rPr>
          <w:b/>
          <w:sz w:val="24"/>
          <w:szCs w:val="24"/>
        </w:rPr>
        <w:t xml:space="preserve">As a superintendent, how can I </w:t>
      </w:r>
      <w:r w:rsidR="00241C04">
        <w:rPr>
          <w:b/>
          <w:sz w:val="24"/>
          <w:szCs w:val="24"/>
        </w:rPr>
        <w:t xml:space="preserve">work with </w:t>
      </w:r>
      <w:r w:rsidRPr="002C4B08">
        <w:rPr>
          <w:b/>
          <w:sz w:val="24"/>
          <w:szCs w:val="24"/>
        </w:rPr>
        <w:t xml:space="preserve">my local school board </w:t>
      </w:r>
      <w:r w:rsidR="00241C04">
        <w:rPr>
          <w:b/>
          <w:sz w:val="24"/>
          <w:szCs w:val="24"/>
        </w:rPr>
        <w:t xml:space="preserve">and collaborate with my peers </w:t>
      </w:r>
      <w:r w:rsidRPr="002C4B08">
        <w:rPr>
          <w:b/>
          <w:sz w:val="24"/>
          <w:szCs w:val="24"/>
        </w:rPr>
        <w:t xml:space="preserve">to implement digital learning? </w:t>
      </w:r>
    </w:p>
    <w:p w14:paraId="7BE92672" w14:textId="77777777" w:rsidR="00762BC7" w:rsidRPr="002C4B08" w:rsidRDefault="00762BC7">
      <w:pPr>
        <w:spacing w:line="240" w:lineRule="auto"/>
        <w:ind w:left="-86"/>
        <w:rPr>
          <w:b/>
          <w:sz w:val="24"/>
          <w:szCs w:val="24"/>
        </w:rPr>
      </w:pPr>
    </w:p>
    <w:p w14:paraId="3BDB8D70" w14:textId="2CB3F2FD" w:rsidR="005A093E" w:rsidRPr="00241C04" w:rsidRDefault="00762BC7" w:rsidP="00241C04">
      <w:pPr>
        <w:spacing w:line="240" w:lineRule="auto"/>
        <w:ind w:left="-86"/>
        <w:rPr>
          <w:sz w:val="24"/>
          <w:szCs w:val="24"/>
        </w:rPr>
      </w:pPr>
      <w:r w:rsidRPr="002C4B08">
        <w:rPr>
          <w:noProof/>
          <w:sz w:val="24"/>
          <w:szCs w:val="24"/>
        </w:rPr>
        <w:drawing>
          <wp:anchor distT="0" distB="0" distL="114300" distR="114300" simplePos="0" relativeHeight="251653632" behindDoc="0" locked="0" layoutInCell="0" hidden="0" allowOverlap="1" wp14:anchorId="44590E31" wp14:editId="3F67B186">
            <wp:simplePos x="0" y="0"/>
            <wp:positionH relativeFrom="margin">
              <wp:posOffset>3600450</wp:posOffset>
            </wp:positionH>
            <wp:positionV relativeFrom="paragraph">
              <wp:posOffset>459740</wp:posOffset>
            </wp:positionV>
            <wp:extent cx="2062480" cy="2101850"/>
            <wp:effectExtent l="0" t="0" r="0" b="0"/>
            <wp:wrapSquare wrapText="bothSides" distT="0" distB="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062480" cy="2101850"/>
                    </a:xfrm>
                    <a:prstGeom prst="rect">
                      <a:avLst/>
                    </a:prstGeom>
                    <a:ln/>
                  </pic:spPr>
                </pic:pic>
              </a:graphicData>
            </a:graphic>
            <wp14:sizeRelH relativeFrom="margin">
              <wp14:pctWidth>0</wp14:pctWidth>
            </wp14:sizeRelH>
            <wp14:sizeRelV relativeFrom="margin">
              <wp14:pctHeight>0</wp14:pctHeight>
            </wp14:sizeRelV>
          </wp:anchor>
        </w:drawing>
      </w:r>
      <w:r w:rsidRPr="002C4B08">
        <w:rPr>
          <w:sz w:val="24"/>
          <w:szCs w:val="24"/>
        </w:rPr>
        <w:t>The</w:t>
      </w:r>
      <w:r w:rsidR="0057420E" w:rsidRPr="002C4B08">
        <w:rPr>
          <w:sz w:val="24"/>
          <w:szCs w:val="24"/>
        </w:rPr>
        <w:t xml:space="preserve"> relationship between the superintendent and the school board is an essential component for success, especially when implementing new initiatives. The National School Boards Association guide, </w:t>
      </w:r>
      <w:hyperlink r:id="rId13">
        <w:r w:rsidR="0057420E" w:rsidRPr="002C4B08">
          <w:rPr>
            <w:color w:val="0000FF"/>
            <w:sz w:val="24"/>
            <w:szCs w:val="24"/>
            <w:u w:val="single"/>
          </w:rPr>
          <w:t>On the Same Page 2.0</w:t>
        </w:r>
      </w:hyperlink>
      <w:r w:rsidR="0057420E" w:rsidRPr="002C4B08">
        <w:rPr>
          <w:sz w:val="24"/>
          <w:szCs w:val="24"/>
        </w:rPr>
        <w:t xml:space="preserve"> is intended to spark conversation and suggestions among stakeholders and emphasizes the importance of information flow for continuous improvement and ownership by all stakeholders. </w:t>
      </w:r>
      <w:r w:rsidRPr="002C4B08">
        <w:rPr>
          <w:sz w:val="24"/>
          <w:szCs w:val="24"/>
        </w:rPr>
        <w:t xml:space="preserve">As seen in the graphic, there is a feedback loop between </w:t>
      </w:r>
      <w:r w:rsidR="004F2A64" w:rsidRPr="002C4B08">
        <w:rPr>
          <w:sz w:val="24"/>
          <w:szCs w:val="24"/>
        </w:rPr>
        <w:t xml:space="preserve">stakeholders—from the </w:t>
      </w:r>
      <w:r w:rsidRPr="002C4B08">
        <w:rPr>
          <w:sz w:val="24"/>
          <w:szCs w:val="24"/>
        </w:rPr>
        <w:t>board of education</w:t>
      </w:r>
      <w:r w:rsidR="004F2A64" w:rsidRPr="002C4B08">
        <w:rPr>
          <w:sz w:val="24"/>
          <w:szCs w:val="24"/>
        </w:rPr>
        <w:t xml:space="preserve"> to </w:t>
      </w:r>
      <w:r w:rsidRPr="002C4B08">
        <w:rPr>
          <w:sz w:val="24"/>
          <w:szCs w:val="24"/>
        </w:rPr>
        <w:t xml:space="preserve">students and parents. </w:t>
      </w:r>
      <w:r w:rsidR="0057420E" w:rsidRPr="002C4B08">
        <w:rPr>
          <w:sz w:val="24"/>
          <w:szCs w:val="24"/>
        </w:rPr>
        <w:t xml:space="preserve">In addition, AASA, the Association for School Superintendents hosts the </w:t>
      </w:r>
      <w:hyperlink r:id="rId14">
        <w:r w:rsidR="0057420E" w:rsidRPr="002C4B08">
          <w:rPr>
            <w:color w:val="0563C1"/>
            <w:sz w:val="24"/>
            <w:szCs w:val="24"/>
            <w:u w:val="single"/>
          </w:rPr>
          <w:t>Digital Learning Consort</w:t>
        </w:r>
        <w:r w:rsidRPr="002C4B08">
          <w:rPr>
            <w:color w:val="0563C1"/>
            <w:sz w:val="24"/>
            <w:szCs w:val="24"/>
            <w:u w:val="single"/>
          </w:rPr>
          <w:t>i</w:t>
        </w:r>
        <w:r w:rsidR="0057420E" w:rsidRPr="002C4B08">
          <w:rPr>
            <w:color w:val="0563C1"/>
            <w:sz w:val="24"/>
            <w:szCs w:val="24"/>
            <w:u w:val="single"/>
          </w:rPr>
          <w:t>um</w:t>
        </w:r>
      </w:hyperlink>
      <w:r w:rsidR="0057420E" w:rsidRPr="002C4B08">
        <w:rPr>
          <w:sz w:val="24"/>
          <w:szCs w:val="24"/>
        </w:rPr>
        <w:t>, to help school district leaders gain insight into emerging and successful models of best practices using digital media in support of engaging and effective learning experiences.</w:t>
      </w:r>
      <w:r w:rsidR="00241C04">
        <w:rPr>
          <w:sz w:val="24"/>
          <w:szCs w:val="24"/>
        </w:rPr>
        <w:t xml:space="preserve"> The </w:t>
      </w:r>
      <w:hyperlink r:id="rId15" w:history="1">
        <w:r w:rsidR="00241C04" w:rsidRPr="00CE2D31">
          <w:rPr>
            <w:rStyle w:val="Hyperlink"/>
            <w:sz w:val="24"/>
            <w:szCs w:val="24"/>
          </w:rPr>
          <w:t>NETP 2017</w:t>
        </w:r>
      </w:hyperlink>
      <w:r w:rsidR="00241C04">
        <w:rPr>
          <w:sz w:val="24"/>
          <w:szCs w:val="24"/>
        </w:rPr>
        <w:t xml:space="preserve"> identifies the key components of collaborative leadership:</w:t>
      </w:r>
    </w:p>
    <w:p w14:paraId="70CDE8DC" w14:textId="77777777" w:rsidR="005A093E" w:rsidRDefault="005A093E" w:rsidP="005A093E">
      <w:pPr>
        <w:numPr>
          <w:ilvl w:val="0"/>
          <w:numId w:val="13"/>
        </w:numPr>
        <w:pBdr>
          <w:top w:val="none" w:sz="0" w:space="0" w:color="auto"/>
          <w:left w:val="none" w:sz="0" w:space="0" w:color="auto"/>
          <w:bottom w:val="none" w:sz="0" w:space="0" w:color="auto"/>
          <w:right w:val="none" w:sz="0" w:space="0" w:color="auto"/>
          <w:between w:val="none" w:sz="0" w:space="0" w:color="auto"/>
        </w:pBdr>
        <w:spacing w:before="120" w:line="240" w:lineRule="auto"/>
        <w:ind w:hanging="360"/>
        <w:contextualSpacing/>
        <w:rPr>
          <w:sz w:val="24"/>
          <w:szCs w:val="24"/>
        </w:rPr>
      </w:pPr>
      <w:r>
        <w:rPr>
          <w:sz w:val="24"/>
          <w:szCs w:val="24"/>
        </w:rPr>
        <w:t>D</w:t>
      </w:r>
      <w:r w:rsidRPr="0093718F">
        <w:rPr>
          <w:sz w:val="24"/>
          <w:szCs w:val="24"/>
        </w:rPr>
        <w:t>evelop a shared vision for how technology can support learning</w:t>
      </w:r>
    </w:p>
    <w:p w14:paraId="266B44B2" w14:textId="77777777" w:rsidR="005A093E" w:rsidRPr="0093718F" w:rsidRDefault="005A093E" w:rsidP="005A093E">
      <w:pPr>
        <w:numPr>
          <w:ilvl w:val="0"/>
          <w:numId w:val="13"/>
        </w:numPr>
        <w:pBdr>
          <w:top w:val="none" w:sz="0" w:space="0" w:color="auto"/>
          <w:left w:val="none" w:sz="0" w:space="0" w:color="auto"/>
          <w:bottom w:val="none" w:sz="0" w:space="0" w:color="auto"/>
          <w:right w:val="none" w:sz="0" w:space="0" w:color="auto"/>
          <w:between w:val="none" w:sz="0" w:space="0" w:color="auto"/>
        </w:pBdr>
        <w:spacing w:before="120" w:line="240" w:lineRule="auto"/>
        <w:ind w:hanging="360"/>
        <w:contextualSpacing/>
        <w:rPr>
          <w:sz w:val="24"/>
          <w:szCs w:val="24"/>
        </w:rPr>
      </w:pPr>
      <w:r>
        <w:rPr>
          <w:sz w:val="24"/>
          <w:szCs w:val="24"/>
        </w:rPr>
        <w:t>S</w:t>
      </w:r>
      <w:r w:rsidRPr="0093718F">
        <w:rPr>
          <w:sz w:val="24"/>
          <w:szCs w:val="24"/>
        </w:rPr>
        <w:t>eek input from a diverse team of stakeholders to adopt and communicate clear goals for teaching, leading, and learning that are facilitated by technology</w:t>
      </w:r>
    </w:p>
    <w:p w14:paraId="7C373568" w14:textId="77777777" w:rsidR="005A093E" w:rsidRPr="0093718F" w:rsidRDefault="005A093E" w:rsidP="005A093E">
      <w:pPr>
        <w:numPr>
          <w:ilvl w:val="0"/>
          <w:numId w:val="13"/>
        </w:numPr>
        <w:pBdr>
          <w:top w:val="none" w:sz="0" w:space="0" w:color="auto"/>
          <w:left w:val="none" w:sz="0" w:space="0" w:color="auto"/>
          <w:bottom w:val="none" w:sz="0" w:space="0" w:color="auto"/>
          <w:right w:val="none" w:sz="0" w:space="0" w:color="auto"/>
          <w:between w:val="none" w:sz="0" w:space="0" w:color="auto"/>
        </w:pBdr>
        <w:spacing w:line="240" w:lineRule="auto"/>
        <w:ind w:hanging="360"/>
        <w:contextualSpacing/>
        <w:rPr>
          <w:sz w:val="24"/>
          <w:szCs w:val="24"/>
        </w:rPr>
      </w:pPr>
      <w:r>
        <w:rPr>
          <w:sz w:val="24"/>
          <w:szCs w:val="24"/>
        </w:rPr>
        <w:t>C</w:t>
      </w:r>
      <w:r w:rsidRPr="0093718F">
        <w:rPr>
          <w:sz w:val="24"/>
          <w:szCs w:val="24"/>
        </w:rPr>
        <w:t>ommunicate with all stakeholders by using appropriate media and technology tools and establish effective feedback loops</w:t>
      </w:r>
    </w:p>
    <w:p w14:paraId="6D08C154" w14:textId="77777777" w:rsidR="005A093E" w:rsidRPr="0093718F" w:rsidRDefault="005A093E" w:rsidP="005A093E">
      <w:pPr>
        <w:numPr>
          <w:ilvl w:val="0"/>
          <w:numId w:val="13"/>
        </w:numPr>
        <w:pBdr>
          <w:top w:val="none" w:sz="0" w:space="0" w:color="auto"/>
          <w:left w:val="none" w:sz="0" w:space="0" w:color="auto"/>
          <w:bottom w:val="none" w:sz="0" w:space="0" w:color="auto"/>
          <w:right w:val="none" w:sz="0" w:space="0" w:color="auto"/>
          <w:between w:val="none" w:sz="0" w:space="0" w:color="auto"/>
        </w:pBdr>
        <w:spacing w:line="240" w:lineRule="auto"/>
        <w:ind w:hanging="360"/>
        <w:contextualSpacing/>
        <w:rPr>
          <w:sz w:val="24"/>
          <w:szCs w:val="24"/>
        </w:rPr>
      </w:pPr>
      <w:r>
        <w:rPr>
          <w:sz w:val="24"/>
          <w:szCs w:val="24"/>
        </w:rPr>
        <w:t>E</w:t>
      </w:r>
      <w:r w:rsidRPr="0093718F">
        <w:rPr>
          <w:sz w:val="24"/>
          <w:szCs w:val="24"/>
        </w:rPr>
        <w:t>nsure that practitioners at the school and district level use and understand research</w:t>
      </w:r>
    </w:p>
    <w:p w14:paraId="2C272100" w14:textId="77777777" w:rsidR="005A093E" w:rsidRPr="002C4B08" w:rsidRDefault="005A093E">
      <w:pPr>
        <w:spacing w:line="240" w:lineRule="auto"/>
        <w:ind w:left="-86"/>
        <w:rPr>
          <w:sz w:val="24"/>
          <w:szCs w:val="24"/>
        </w:rPr>
      </w:pPr>
    </w:p>
    <w:p w14:paraId="64C7F9F7" w14:textId="77777777" w:rsidR="004F2A64" w:rsidRPr="002C4B08" w:rsidRDefault="00762BC7" w:rsidP="005F1988">
      <w:pPr>
        <w:spacing w:line="240" w:lineRule="auto"/>
        <w:ind w:left="-80"/>
        <w:outlineLvl w:val="0"/>
        <w:rPr>
          <w:b/>
          <w:sz w:val="24"/>
          <w:szCs w:val="24"/>
        </w:rPr>
      </w:pPr>
      <w:bookmarkStart w:id="4" w:name="_Hlk485119966"/>
      <w:r w:rsidRPr="002C4B08">
        <w:rPr>
          <w:b/>
          <w:sz w:val="24"/>
          <w:szCs w:val="24"/>
        </w:rPr>
        <w:t>Learn more about collaborative leadership</w:t>
      </w:r>
    </w:p>
    <w:p w14:paraId="66CD5D35" w14:textId="77777777" w:rsidR="004F2A64" w:rsidRPr="002C4B08" w:rsidRDefault="004D4303" w:rsidP="005F1988">
      <w:pPr>
        <w:spacing w:line="240" w:lineRule="auto"/>
        <w:ind w:left="-80"/>
        <w:outlineLvl w:val="0"/>
        <w:rPr>
          <w:color w:val="0000FF"/>
          <w:sz w:val="24"/>
          <w:szCs w:val="24"/>
          <w:u w:val="single"/>
        </w:rPr>
      </w:pPr>
      <w:hyperlink r:id="rId16">
        <w:r w:rsidR="004F2A64" w:rsidRPr="002C4B08">
          <w:rPr>
            <w:color w:val="0000FF"/>
            <w:sz w:val="24"/>
            <w:szCs w:val="24"/>
            <w:u w:val="single"/>
          </w:rPr>
          <w:t>2017 National Education Technology Plan Update (NETP)</w:t>
        </w:r>
      </w:hyperlink>
    </w:p>
    <w:p w14:paraId="6F7DAA58" w14:textId="77777777" w:rsidR="004F2A64" w:rsidRPr="002C4B08" w:rsidRDefault="004D4303" w:rsidP="004F2A64">
      <w:pPr>
        <w:spacing w:line="240" w:lineRule="auto"/>
        <w:ind w:left="-80"/>
        <w:rPr>
          <w:color w:val="0000FF"/>
          <w:sz w:val="24"/>
          <w:szCs w:val="24"/>
          <w:u w:val="single"/>
        </w:rPr>
      </w:pPr>
      <w:hyperlink r:id="rId17" w:history="1">
        <w:r w:rsidR="004F2A64" w:rsidRPr="002C4B08">
          <w:rPr>
            <w:rStyle w:val="Hyperlink"/>
            <w:sz w:val="24"/>
            <w:szCs w:val="24"/>
          </w:rPr>
          <w:t>#NETP16: Setting a vision of equity, active use, and collaborative leadership</w:t>
        </w:r>
      </w:hyperlink>
    </w:p>
    <w:p w14:paraId="42FCE7FB" w14:textId="77777777" w:rsidR="00762BC7" w:rsidRPr="002C4B08" w:rsidRDefault="004D4303" w:rsidP="005F1988">
      <w:pPr>
        <w:spacing w:line="240" w:lineRule="auto"/>
        <w:ind w:left="-80"/>
        <w:outlineLvl w:val="0"/>
        <w:rPr>
          <w:sz w:val="24"/>
          <w:szCs w:val="24"/>
        </w:rPr>
      </w:pPr>
      <w:hyperlink r:id="rId18">
        <w:r w:rsidR="00762BC7" w:rsidRPr="002C4B08">
          <w:rPr>
            <w:color w:val="1155CC"/>
            <w:sz w:val="24"/>
            <w:szCs w:val="24"/>
            <w:u w:val="single"/>
          </w:rPr>
          <w:t>National School Boards Association Leadership Services</w:t>
        </w:r>
      </w:hyperlink>
      <w:r w:rsidR="001F081A" w:rsidRPr="002C4B08">
        <w:rPr>
          <w:sz w:val="24"/>
          <w:szCs w:val="24"/>
        </w:rPr>
        <w:t xml:space="preserve"> </w:t>
      </w:r>
    </w:p>
    <w:p w14:paraId="7B5C6551" w14:textId="77777777" w:rsidR="00762BC7" w:rsidRPr="002C4B08" w:rsidRDefault="004D4303" w:rsidP="005F1988">
      <w:pPr>
        <w:spacing w:line="240" w:lineRule="auto"/>
        <w:ind w:left="-80"/>
        <w:outlineLvl w:val="0"/>
        <w:rPr>
          <w:sz w:val="24"/>
          <w:szCs w:val="24"/>
        </w:rPr>
      </w:pPr>
      <w:hyperlink r:id="rId19" w:history="1">
        <w:r w:rsidR="00762BC7" w:rsidRPr="002C4B08">
          <w:rPr>
            <w:rStyle w:val="Hyperlink"/>
            <w:sz w:val="24"/>
            <w:szCs w:val="24"/>
          </w:rPr>
          <w:t>Communication Strategies to Create Personalized Learning Buy-In in Baltimore</w:t>
        </w:r>
      </w:hyperlink>
    </w:p>
    <w:p w14:paraId="22A7CC2A" w14:textId="77777777" w:rsidR="001F081A" w:rsidRPr="002C4B08" w:rsidRDefault="001F081A" w:rsidP="004A594B">
      <w:pPr>
        <w:spacing w:line="240" w:lineRule="auto"/>
        <w:ind w:left="-80"/>
        <w:rPr>
          <w:b/>
          <w:color w:val="E65200"/>
          <w:sz w:val="24"/>
          <w:szCs w:val="24"/>
        </w:rPr>
      </w:pPr>
    </w:p>
    <w:bookmarkEnd w:id="4"/>
    <w:p w14:paraId="1A5024ED" w14:textId="77777777" w:rsidR="00063716" w:rsidRPr="002C4B08" w:rsidRDefault="00063716" w:rsidP="00063716">
      <w:pPr>
        <w:spacing w:line="240" w:lineRule="auto"/>
        <w:rPr>
          <w:b/>
          <w:color w:val="ED7D31"/>
          <w:sz w:val="24"/>
          <w:szCs w:val="24"/>
        </w:rPr>
      </w:pPr>
    </w:p>
    <w:p w14:paraId="0FA55E62" w14:textId="43C4D85B" w:rsidR="00063716" w:rsidRPr="005F1988" w:rsidRDefault="005F1988" w:rsidP="005F1988">
      <w:pPr>
        <w:spacing w:line="240" w:lineRule="auto"/>
        <w:outlineLvl w:val="0"/>
        <w:rPr>
          <w:b/>
          <w:color w:val="00A79D"/>
          <w:sz w:val="24"/>
          <w:szCs w:val="24"/>
        </w:rPr>
      </w:pPr>
      <w:r>
        <w:rPr>
          <w:b/>
          <w:noProof/>
          <w:color w:val="00A79D"/>
          <w:sz w:val="24"/>
          <w:szCs w:val="24"/>
        </w:rPr>
        <w:drawing>
          <wp:anchor distT="0" distB="0" distL="114300" distR="114300" simplePos="0" relativeHeight="251676160" behindDoc="0" locked="0" layoutInCell="1" allowOverlap="1" wp14:anchorId="2160B2A7" wp14:editId="1AFF3955">
            <wp:simplePos x="0" y="0"/>
            <wp:positionH relativeFrom="column">
              <wp:posOffset>0</wp:posOffset>
            </wp:positionH>
            <wp:positionV relativeFrom="paragraph">
              <wp:posOffset>635</wp:posOffset>
            </wp:positionV>
            <wp:extent cx="1371600" cy="1371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dget.png"/>
                    <pic:cNvPicPr/>
                  </pic:nvPicPr>
                  <pic:blipFill>
                    <a:blip r:embed="rId20">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63716" w:rsidRPr="005F1988">
        <w:rPr>
          <w:b/>
          <w:color w:val="00A79D"/>
          <w:sz w:val="24"/>
          <w:szCs w:val="24"/>
        </w:rPr>
        <w:t>Budget</w:t>
      </w:r>
    </w:p>
    <w:p w14:paraId="5622979D" w14:textId="77777777" w:rsidR="00063716" w:rsidRPr="002C4B08" w:rsidRDefault="00063716" w:rsidP="00063716">
      <w:pPr>
        <w:spacing w:line="240" w:lineRule="auto"/>
        <w:rPr>
          <w:b/>
          <w:color w:val="auto"/>
          <w:sz w:val="24"/>
          <w:szCs w:val="24"/>
        </w:rPr>
      </w:pPr>
      <w:r w:rsidRPr="002C4B08">
        <w:rPr>
          <w:b/>
          <w:color w:val="auto"/>
          <w:sz w:val="24"/>
          <w:szCs w:val="24"/>
        </w:rPr>
        <w:t>How are we going to pay for high-speed broadband, wireless access and devices?</w:t>
      </w:r>
    </w:p>
    <w:p w14:paraId="081F3CDA" w14:textId="77777777" w:rsidR="00063716" w:rsidRPr="002C4B08" w:rsidRDefault="00063716" w:rsidP="00063716">
      <w:pPr>
        <w:spacing w:line="240" w:lineRule="auto"/>
        <w:rPr>
          <w:b/>
          <w:color w:val="ED7D31"/>
          <w:sz w:val="24"/>
          <w:szCs w:val="24"/>
        </w:rPr>
      </w:pPr>
    </w:p>
    <w:p w14:paraId="316E305E" w14:textId="77777777" w:rsidR="00063716" w:rsidRPr="002C4B08" w:rsidRDefault="00063716" w:rsidP="00063716">
      <w:pPr>
        <w:spacing w:line="240" w:lineRule="auto"/>
        <w:rPr>
          <w:sz w:val="24"/>
          <w:szCs w:val="24"/>
        </w:rPr>
      </w:pPr>
      <w:r w:rsidRPr="002C4B08">
        <w:rPr>
          <w:sz w:val="24"/>
          <w:szCs w:val="24"/>
        </w:rPr>
        <w:t xml:space="preserve">Many states and districts are utilizing Total Cost of Ownership (TCO), a financial estimate that includes metrics and processes to determine the total cost of acquiring and maintaining devices and instructional materials. Shifting to digital learning requires critical consideration regarding both access to the instructional materials and maintaining the technology tools and services to support the devices and content. For districts that engage in transformative budgeting, a model that accomplishes innovation within existing budgets, </w:t>
      </w:r>
      <w:r w:rsidR="002C4B08" w:rsidRPr="002C4B08">
        <w:rPr>
          <w:sz w:val="24"/>
          <w:szCs w:val="24"/>
        </w:rPr>
        <w:t xml:space="preserve">leaders across agencies, such as the chief academic officer, the chief innovation officer, the chief information officer and the chief financial officer </w:t>
      </w:r>
      <w:r w:rsidRPr="002C4B08">
        <w:rPr>
          <w:sz w:val="24"/>
          <w:szCs w:val="24"/>
        </w:rPr>
        <w:t>need to be part of the conversation. The following three essential strategies characterize transformative budgeting when applied to technology readiness for digital learning:</w:t>
      </w:r>
    </w:p>
    <w:p w14:paraId="6B425053" w14:textId="77777777" w:rsidR="00063716" w:rsidRPr="002C4B08" w:rsidRDefault="00063716" w:rsidP="002C4B0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sz w:val="24"/>
          <w:szCs w:val="24"/>
        </w:rPr>
      </w:pPr>
      <w:r w:rsidRPr="002C4B08">
        <w:rPr>
          <w:sz w:val="24"/>
          <w:szCs w:val="24"/>
        </w:rPr>
        <w:t>Alignment of technology expenditures with the goals in the district’s strategic plans.</w:t>
      </w:r>
    </w:p>
    <w:p w14:paraId="6A10799C" w14:textId="77777777" w:rsidR="00063716" w:rsidRPr="002C4B08" w:rsidRDefault="00063716" w:rsidP="002C4B0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sz w:val="24"/>
          <w:szCs w:val="24"/>
        </w:rPr>
      </w:pPr>
      <w:r w:rsidRPr="002C4B08">
        <w:rPr>
          <w:sz w:val="24"/>
          <w:szCs w:val="24"/>
        </w:rPr>
        <w:t>A cross-functional budget leadership team that brings together finance, technology, curriculum and instruction.</w:t>
      </w:r>
    </w:p>
    <w:p w14:paraId="15164073" w14:textId="77777777" w:rsidR="00063716" w:rsidRPr="002C4B08" w:rsidRDefault="00063716" w:rsidP="002C4B0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sz w:val="24"/>
          <w:szCs w:val="24"/>
        </w:rPr>
      </w:pPr>
      <w:r w:rsidRPr="002C4B08">
        <w:rPr>
          <w:sz w:val="24"/>
          <w:szCs w:val="24"/>
        </w:rPr>
        <w:t>Transformative zero-based budgeting – a process through which education leaders begin each budget cycle at zero in each category, and then add costs to the budget only when there is evidence that such costs are required to meet goals.</w:t>
      </w:r>
    </w:p>
    <w:p w14:paraId="11B3290A" w14:textId="77777777" w:rsidR="00063716" w:rsidRPr="002C4B08" w:rsidRDefault="00063716" w:rsidP="00063716">
      <w:pPr>
        <w:spacing w:line="240" w:lineRule="auto"/>
        <w:rPr>
          <w:b/>
          <w:sz w:val="24"/>
          <w:szCs w:val="24"/>
        </w:rPr>
      </w:pPr>
    </w:p>
    <w:p w14:paraId="213A0D05" w14:textId="77777777" w:rsidR="00063716" w:rsidRPr="002C4B08" w:rsidRDefault="00063716" w:rsidP="005F1988">
      <w:pPr>
        <w:spacing w:line="240" w:lineRule="auto"/>
        <w:outlineLvl w:val="0"/>
        <w:rPr>
          <w:b/>
          <w:sz w:val="24"/>
          <w:szCs w:val="24"/>
        </w:rPr>
      </w:pPr>
      <w:r w:rsidRPr="002C4B08">
        <w:rPr>
          <w:b/>
          <w:sz w:val="24"/>
          <w:szCs w:val="24"/>
        </w:rPr>
        <w:t>Learn more about budgeting</w:t>
      </w:r>
    </w:p>
    <w:p w14:paraId="4B124EFC" w14:textId="77777777" w:rsidR="00063716" w:rsidRPr="002C4B08" w:rsidRDefault="004D4303" w:rsidP="005F1988">
      <w:pPr>
        <w:spacing w:line="240" w:lineRule="auto"/>
        <w:outlineLvl w:val="0"/>
        <w:rPr>
          <w:color w:val="4472C4" w:themeColor="accent1"/>
          <w:sz w:val="24"/>
          <w:szCs w:val="24"/>
          <w:u w:val="single"/>
        </w:rPr>
      </w:pPr>
      <w:hyperlink r:id="rId21" w:history="1">
        <w:proofErr w:type="spellStart"/>
        <w:r w:rsidR="00063716" w:rsidRPr="002C4B08">
          <w:rPr>
            <w:rStyle w:val="Hyperlink"/>
            <w:color w:val="4472C4" w:themeColor="accent1"/>
            <w:sz w:val="24"/>
            <w:szCs w:val="24"/>
          </w:rPr>
          <w:t>CoSN’s</w:t>
        </w:r>
        <w:proofErr w:type="spellEnd"/>
        <w:r w:rsidR="00063716" w:rsidRPr="002C4B08">
          <w:rPr>
            <w:rStyle w:val="Hyperlink"/>
            <w:color w:val="4472C4" w:themeColor="accent1"/>
            <w:sz w:val="24"/>
            <w:szCs w:val="24"/>
          </w:rPr>
          <w:t xml:space="preserve"> </w:t>
        </w:r>
        <w:proofErr w:type="spellStart"/>
        <w:r w:rsidR="00063716" w:rsidRPr="002C4B08">
          <w:rPr>
            <w:rStyle w:val="Hyperlink"/>
            <w:color w:val="4472C4" w:themeColor="accent1"/>
            <w:sz w:val="24"/>
            <w:szCs w:val="24"/>
          </w:rPr>
          <w:t>SmartIT</w:t>
        </w:r>
        <w:proofErr w:type="spellEnd"/>
        <w:r w:rsidR="00063716" w:rsidRPr="002C4B08">
          <w:rPr>
            <w:rStyle w:val="Hyperlink"/>
            <w:color w:val="4472C4" w:themeColor="accent1"/>
            <w:sz w:val="24"/>
            <w:szCs w:val="24"/>
          </w:rPr>
          <w:t xml:space="preserve"> Initiative</w:t>
        </w:r>
      </w:hyperlink>
      <w:r w:rsidR="00063716" w:rsidRPr="002C4B08">
        <w:rPr>
          <w:color w:val="4472C4" w:themeColor="accent1"/>
          <w:sz w:val="24"/>
          <w:szCs w:val="24"/>
          <w:u w:val="single"/>
        </w:rPr>
        <w:t xml:space="preserve"> </w:t>
      </w:r>
    </w:p>
    <w:p w14:paraId="369B018B" w14:textId="77777777" w:rsidR="00A72AEC" w:rsidRPr="00051891" w:rsidRDefault="00A72AEC" w:rsidP="00A72AEC">
      <w:pPr>
        <w:spacing w:line="240" w:lineRule="auto"/>
        <w:rPr>
          <w:rStyle w:val="Hyperlink"/>
          <w:sz w:val="24"/>
          <w:szCs w:val="24"/>
        </w:rPr>
      </w:pPr>
      <w:r>
        <w:rPr>
          <w:sz w:val="24"/>
          <w:szCs w:val="24"/>
        </w:rPr>
        <w:fldChar w:fldCharType="begin"/>
      </w:r>
      <w:r>
        <w:rPr>
          <w:sz w:val="24"/>
          <w:szCs w:val="24"/>
        </w:rPr>
        <w:instrText xml:space="preserve"> HYPERLINK "https://ncdli.fi.ncsu.edu/dlplan/" </w:instrText>
      </w:r>
      <w:r>
        <w:rPr>
          <w:sz w:val="24"/>
          <w:szCs w:val="24"/>
        </w:rPr>
        <w:fldChar w:fldCharType="separate"/>
      </w:r>
      <w:r w:rsidRPr="00051891">
        <w:rPr>
          <w:rStyle w:val="Hyperlink"/>
          <w:sz w:val="24"/>
          <w:szCs w:val="24"/>
        </w:rPr>
        <w:t>North Carolina Digital Learning Plan</w:t>
      </w:r>
    </w:p>
    <w:p w14:paraId="261B3624" w14:textId="73970F01" w:rsidR="00063716" w:rsidRPr="002C4B08" w:rsidRDefault="00A72AEC" w:rsidP="00A72AEC">
      <w:pPr>
        <w:spacing w:line="240" w:lineRule="auto"/>
        <w:outlineLvl w:val="0"/>
        <w:rPr>
          <w:color w:val="auto"/>
          <w:sz w:val="24"/>
          <w:szCs w:val="24"/>
        </w:rPr>
      </w:pPr>
      <w:r>
        <w:rPr>
          <w:sz w:val="24"/>
          <w:szCs w:val="24"/>
        </w:rPr>
        <w:fldChar w:fldCharType="end"/>
      </w:r>
      <w:hyperlink r:id="rId22" w:history="1">
        <w:r w:rsidR="00063716" w:rsidRPr="002C4B08">
          <w:rPr>
            <w:rStyle w:val="Hyperlink"/>
            <w:sz w:val="24"/>
            <w:szCs w:val="24"/>
          </w:rPr>
          <w:t>New Jersey, Transformative Budget for Digital Learning</w:t>
        </w:r>
      </w:hyperlink>
    </w:p>
    <w:p w14:paraId="7CF8BEF1" w14:textId="77777777" w:rsidR="002C4B08" w:rsidRDefault="002C4B08">
      <w:pPr>
        <w:rPr>
          <w:sz w:val="24"/>
          <w:szCs w:val="24"/>
        </w:rPr>
      </w:pPr>
      <w:r>
        <w:rPr>
          <w:sz w:val="24"/>
          <w:szCs w:val="24"/>
        </w:rPr>
        <w:br w:type="page"/>
      </w:r>
    </w:p>
    <w:p w14:paraId="4CA30C45" w14:textId="4C472E32" w:rsidR="00A61126" w:rsidRPr="002C4B08" w:rsidRDefault="00A61126">
      <w:pPr>
        <w:spacing w:line="240" w:lineRule="auto"/>
        <w:rPr>
          <w:sz w:val="24"/>
          <w:szCs w:val="24"/>
        </w:rPr>
      </w:pPr>
    </w:p>
    <w:p w14:paraId="261A92E7" w14:textId="77777777" w:rsidR="00A61126" w:rsidRPr="002C4B08" w:rsidRDefault="00A61126">
      <w:pPr>
        <w:spacing w:line="240" w:lineRule="auto"/>
        <w:ind w:left="-80"/>
        <w:rPr>
          <w:b/>
          <w:sz w:val="24"/>
          <w:szCs w:val="24"/>
        </w:rPr>
      </w:pPr>
    </w:p>
    <w:p w14:paraId="6482679B" w14:textId="3A9EDF6C" w:rsidR="00A61126" w:rsidRPr="005F1988" w:rsidRDefault="005F1988" w:rsidP="005F1988">
      <w:pPr>
        <w:tabs>
          <w:tab w:val="left" w:pos="3870"/>
        </w:tabs>
        <w:spacing w:line="240" w:lineRule="auto"/>
        <w:ind w:left="-80"/>
        <w:outlineLvl w:val="0"/>
        <w:rPr>
          <w:b/>
          <w:color w:val="00A79D"/>
          <w:sz w:val="24"/>
          <w:szCs w:val="24"/>
        </w:rPr>
      </w:pPr>
      <w:r>
        <w:rPr>
          <w:b/>
          <w:noProof/>
          <w:color w:val="00A79D"/>
          <w:sz w:val="24"/>
          <w:szCs w:val="24"/>
        </w:rPr>
        <w:drawing>
          <wp:anchor distT="0" distB="0" distL="114300" distR="114300" simplePos="0" relativeHeight="251677184" behindDoc="0" locked="0" layoutInCell="1" allowOverlap="1" wp14:anchorId="4A011F29" wp14:editId="045071AE">
            <wp:simplePos x="0" y="0"/>
            <wp:positionH relativeFrom="column">
              <wp:posOffset>-50800</wp:posOffset>
            </wp:positionH>
            <wp:positionV relativeFrom="paragraph">
              <wp:posOffset>5715</wp:posOffset>
            </wp:positionV>
            <wp:extent cx="1371600" cy="1373358"/>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work_gap.png"/>
                    <pic:cNvPicPr/>
                  </pic:nvPicPr>
                  <pic:blipFill>
                    <a:blip r:embed="rId23">
                      <a:extLst>
                        <a:ext uri="{28A0092B-C50C-407E-A947-70E740481C1C}">
                          <a14:useLocalDpi xmlns:a14="http://schemas.microsoft.com/office/drawing/2010/main" val="0"/>
                        </a:ext>
                      </a:extLst>
                    </a:blip>
                    <a:stretch>
                      <a:fillRect/>
                    </a:stretch>
                  </pic:blipFill>
                  <pic:spPr>
                    <a:xfrm>
                      <a:off x="0" y="0"/>
                      <a:ext cx="1371600" cy="1373358"/>
                    </a:xfrm>
                    <a:prstGeom prst="rect">
                      <a:avLst/>
                    </a:prstGeom>
                  </pic:spPr>
                </pic:pic>
              </a:graphicData>
            </a:graphic>
            <wp14:sizeRelH relativeFrom="page">
              <wp14:pctWidth>0</wp14:pctWidth>
            </wp14:sizeRelH>
            <wp14:sizeRelV relativeFrom="page">
              <wp14:pctHeight>0</wp14:pctHeight>
            </wp14:sizeRelV>
          </wp:anchor>
        </w:drawing>
      </w:r>
      <w:r w:rsidR="0057420E" w:rsidRPr="005F1988">
        <w:rPr>
          <w:b/>
          <w:color w:val="00A79D"/>
          <w:sz w:val="24"/>
          <w:szCs w:val="24"/>
        </w:rPr>
        <w:t>Homework Gap</w:t>
      </w:r>
    </w:p>
    <w:p w14:paraId="79CD8E48" w14:textId="77777777" w:rsidR="004F2A64" w:rsidRPr="002C4B08" w:rsidRDefault="00685FC9" w:rsidP="004F2A64">
      <w:pPr>
        <w:widowControl/>
        <w:spacing w:line="240" w:lineRule="auto"/>
        <w:ind w:left="720"/>
        <w:contextualSpacing/>
        <w:rPr>
          <w:b/>
          <w:sz w:val="24"/>
          <w:szCs w:val="24"/>
        </w:rPr>
      </w:pPr>
      <w:r w:rsidRPr="002C4B08">
        <w:rPr>
          <w:b/>
          <w:sz w:val="24"/>
          <w:szCs w:val="24"/>
        </w:rPr>
        <w:t>As superintendent, what are some options for ad</w:t>
      </w:r>
      <w:r w:rsidR="004F2A64" w:rsidRPr="002C4B08">
        <w:rPr>
          <w:b/>
          <w:sz w:val="24"/>
          <w:szCs w:val="24"/>
        </w:rPr>
        <w:t>dressing</w:t>
      </w:r>
      <w:r w:rsidRPr="002C4B08">
        <w:rPr>
          <w:b/>
          <w:sz w:val="24"/>
          <w:szCs w:val="24"/>
        </w:rPr>
        <w:t xml:space="preserve"> the “homework gap”?</w:t>
      </w:r>
      <w:r w:rsidR="004F2A64" w:rsidRPr="002C4B08">
        <w:rPr>
          <w:b/>
          <w:sz w:val="24"/>
          <w:szCs w:val="24"/>
        </w:rPr>
        <w:t xml:space="preserve"> </w:t>
      </w:r>
    </w:p>
    <w:p w14:paraId="5DD84C5A" w14:textId="77777777" w:rsidR="004F2A64" w:rsidRPr="002C4B08" w:rsidRDefault="004F2A64">
      <w:pPr>
        <w:spacing w:line="240" w:lineRule="auto"/>
        <w:ind w:left="-80"/>
        <w:rPr>
          <w:b/>
          <w:color w:val="ED7D31"/>
          <w:sz w:val="24"/>
          <w:szCs w:val="24"/>
        </w:rPr>
      </w:pPr>
    </w:p>
    <w:p w14:paraId="4DF5FDA0" w14:textId="77777777" w:rsidR="00837493" w:rsidRPr="002C4B08" w:rsidRDefault="00685FC9" w:rsidP="00837493">
      <w:pPr>
        <w:spacing w:line="240" w:lineRule="auto"/>
        <w:ind w:left="-80"/>
        <w:rPr>
          <w:sz w:val="24"/>
          <w:szCs w:val="24"/>
        </w:rPr>
      </w:pPr>
      <w:r w:rsidRPr="002C4B08">
        <w:rPr>
          <w:noProof/>
          <w:sz w:val="24"/>
          <w:szCs w:val="24"/>
        </w:rPr>
        <mc:AlternateContent>
          <mc:Choice Requires="wps">
            <w:drawing>
              <wp:anchor distT="91440" distB="91440" distL="114300" distR="114300" simplePos="0" relativeHeight="251668992" behindDoc="0" locked="0" layoutInCell="1" allowOverlap="1" wp14:anchorId="1779E992" wp14:editId="3B023F6F">
                <wp:simplePos x="0" y="0"/>
                <wp:positionH relativeFrom="page">
                  <wp:posOffset>4552950</wp:posOffset>
                </wp:positionH>
                <wp:positionV relativeFrom="paragraph">
                  <wp:posOffset>232410</wp:posOffset>
                </wp:positionV>
                <wp:extent cx="2124710" cy="199199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991995"/>
                        </a:xfrm>
                        <a:prstGeom prst="rect">
                          <a:avLst/>
                        </a:prstGeom>
                        <a:noFill/>
                        <a:ln w="9525">
                          <a:noFill/>
                          <a:miter lim="800000"/>
                          <a:headEnd/>
                          <a:tailEnd/>
                        </a:ln>
                      </wps:spPr>
                      <wps:txbx>
                        <w:txbxContent>
                          <w:p w14:paraId="6027E2EF" w14:textId="77777777" w:rsidR="002864EB" w:rsidRDefault="002864EB" w:rsidP="00685FC9">
                            <w:pPr>
                              <w:pBdr>
                                <w:top w:val="single" w:sz="24" w:space="8" w:color="4472C4" w:themeColor="accent1"/>
                                <w:bottom w:val="single" w:sz="24" w:space="8" w:color="4472C4" w:themeColor="accent1"/>
                              </w:pBdr>
                              <w:rPr>
                                <w:i/>
                                <w:iCs/>
                                <w:color w:val="4472C4" w:themeColor="accent1"/>
                                <w:sz w:val="24"/>
                                <w:szCs w:val="24"/>
                              </w:rPr>
                            </w:pPr>
                            <w:r>
                              <w:rPr>
                                <w:i/>
                                <w:iCs/>
                                <w:color w:val="4472C4" w:themeColor="accent1"/>
                                <w:sz w:val="24"/>
                                <w:szCs w:val="24"/>
                              </w:rPr>
                              <w:t xml:space="preserve">2/3 of students say that it is important for them to have safe and consistent access to the internet when they are outside of school for them to be successful in school </w:t>
                            </w:r>
                          </w:p>
                          <w:p w14:paraId="7539E70D" w14:textId="77777777" w:rsidR="002864EB" w:rsidRPr="00685FC9" w:rsidRDefault="002864EB" w:rsidP="00685FC9">
                            <w:pPr>
                              <w:pBdr>
                                <w:top w:val="single" w:sz="24" w:space="8" w:color="4472C4" w:themeColor="accent1"/>
                                <w:bottom w:val="single" w:sz="24" w:space="8" w:color="4472C4" w:themeColor="accent1"/>
                              </w:pBdr>
                              <w:rPr>
                                <w:i/>
                                <w:iCs/>
                                <w:color w:val="4472C4" w:themeColor="accent1"/>
                                <w:sz w:val="24"/>
                                <w:szCs w:val="24"/>
                              </w:rPr>
                            </w:pPr>
                            <w:r>
                              <w:rPr>
                                <w:i/>
                                <w:iCs/>
                                <w:color w:val="4472C4" w:themeColor="accent1"/>
                                <w:sz w:val="24"/>
                                <w:szCs w:val="24"/>
                              </w:rPr>
                              <w:t>- Project Tomorrow, Speak Up Survey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9E992" id="_x0000_t202" coordsize="21600,21600" o:spt="202" path="m0,0l0,21600,21600,21600,21600,0xe">
                <v:stroke joinstyle="miter"/>
                <v:path gradientshapeok="t" o:connecttype="rect"/>
              </v:shapetype>
              <v:shape id="Text Box 2" o:spid="_x0000_s1026" type="#_x0000_t202" style="position:absolute;left:0;text-align:left;margin-left:358.5pt;margin-top:18.3pt;width:167.3pt;height:156.85pt;z-index:25166899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" filled="f" stroked="f">
                <v:textbox style="mso-fit-shape-to-text:t">
                  <w:txbxContent>
                    <w:p w14:paraId="6027E2EF" w14:textId="77777777" w:rsidR="002864EB" w:rsidRDefault="002864EB" w:rsidP="00685FC9">
                      <w:pPr>
                        <w:pBdr>
                          <w:top w:val="single" w:sz="24" w:space="8" w:color="4472C4" w:themeColor="accent1"/>
                          <w:bottom w:val="single" w:sz="24" w:space="8" w:color="4472C4" w:themeColor="accent1"/>
                        </w:pBdr>
                        <w:rPr>
                          <w:i/>
                          <w:iCs/>
                          <w:color w:val="4472C4" w:themeColor="accent1"/>
                          <w:sz w:val="24"/>
                          <w:szCs w:val="24"/>
                        </w:rPr>
                      </w:pPr>
                      <w:r>
                        <w:rPr>
                          <w:i/>
                          <w:iCs/>
                          <w:color w:val="4472C4" w:themeColor="accent1"/>
                          <w:sz w:val="24"/>
                          <w:szCs w:val="24"/>
                        </w:rPr>
                        <w:t xml:space="preserve">2/3 of students say that it is important for them to have safe and consistent access to the internet when they are outside of school for them to be successful in school </w:t>
                      </w:r>
                    </w:p>
                    <w:p w14:paraId="7539E70D" w14:textId="77777777" w:rsidR="002864EB" w:rsidRPr="00685FC9" w:rsidRDefault="002864EB" w:rsidP="00685FC9">
                      <w:pPr>
                        <w:pBdr>
                          <w:top w:val="single" w:sz="24" w:space="8" w:color="4472C4" w:themeColor="accent1"/>
                          <w:bottom w:val="single" w:sz="24" w:space="8" w:color="4472C4" w:themeColor="accent1"/>
                        </w:pBdr>
                        <w:rPr>
                          <w:i/>
                          <w:iCs/>
                          <w:color w:val="4472C4" w:themeColor="accent1"/>
                          <w:sz w:val="24"/>
                          <w:szCs w:val="24"/>
                        </w:rPr>
                      </w:pPr>
                      <w:r>
                        <w:rPr>
                          <w:i/>
                          <w:iCs/>
                          <w:color w:val="4472C4" w:themeColor="accent1"/>
                          <w:sz w:val="24"/>
                          <w:szCs w:val="24"/>
                        </w:rPr>
                        <w:t>- Project Tomorrow, Speak Up Survey 2015</w:t>
                      </w:r>
                    </w:p>
                  </w:txbxContent>
                </v:textbox>
                <w10:wrap type="square" anchorx="page"/>
              </v:shape>
            </w:pict>
          </mc:Fallback>
        </mc:AlternateContent>
      </w:r>
      <w:r w:rsidRPr="002C4B08">
        <w:rPr>
          <w:sz w:val="24"/>
          <w:szCs w:val="24"/>
        </w:rPr>
        <w:t xml:space="preserve">The “homework gap” – the gap between students whose internet connections at home are slow or non-existent—and those who have consistent home connections with adequate speed for learning activities in a safe environment is an increasingly important issue for districts, schools, students and parents. </w:t>
      </w:r>
      <w:r w:rsidR="0057420E" w:rsidRPr="002C4B08">
        <w:rPr>
          <w:sz w:val="24"/>
          <w:szCs w:val="24"/>
        </w:rPr>
        <w:t xml:space="preserve">The digital divide persists and not all students have access to </w:t>
      </w:r>
      <w:r w:rsidRPr="002C4B08">
        <w:rPr>
          <w:sz w:val="24"/>
          <w:szCs w:val="24"/>
        </w:rPr>
        <w:t xml:space="preserve">reliable </w:t>
      </w:r>
      <w:r w:rsidR="0057420E" w:rsidRPr="002C4B08">
        <w:rPr>
          <w:sz w:val="24"/>
          <w:szCs w:val="24"/>
        </w:rPr>
        <w:t>internet at home</w:t>
      </w:r>
      <w:r w:rsidRPr="002C4B08">
        <w:rPr>
          <w:sz w:val="24"/>
          <w:szCs w:val="24"/>
        </w:rPr>
        <w:t xml:space="preserve">. The </w:t>
      </w:r>
      <w:r w:rsidR="0057420E" w:rsidRPr="002C4B08">
        <w:rPr>
          <w:color w:val="4472C4" w:themeColor="accent1"/>
          <w:sz w:val="24"/>
          <w:szCs w:val="24"/>
          <w:u w:val="single"/>
        </w:rPr>
        <w:t>Pew Research Center</w:t>
      </w:r>
      <w:r w:rsidRPr="002C4B08">
        <w:rPr>
          <w:sz w:val="24"/>
          <w:szCs w:val="24"/>
        </w:rPr>
        <w:t xml:space="preserve"> reports t</w:t>
      </w:r>
      <w:r w:rsidR="0057420E" w:rsidRPr="002C4B08">
        <w:rPr>
          <w:sz w:val="24"/>
          <w:szCs w:val="24"/>
        </w:rPr>
        <w:t>hat 5 million households with school-age children do not have broadband access at home. Low-income households—especially black and Hispanic ones—make up a disproportionate share of those households.</w:t>
      </w:r>
      <w:r w:rsidR="004F2A64" w:rsidRPr="002C4B08">
        <w:rPr>
          <w:sz w:val="24"/>
          <w:szCs w:val="24"/>
        </w:rPr>
        <w:t xml:space="preserve"> </w:t>
      </w:r>
      <w:r w:rsidR="00837493" w:rsidRPr="002C4B08">
        <w:rPr>
          <w:sz w:val="24"/>
          <w:szCs w:val="24"/>
        </w:rPr>
        <w:t xml:space="preserve">As more schools implement digital learning, including digital instructional materials, connectivity outside of school for students is an essential component of a 21st century education—not something merely nice to have to make anytime, anywhere access for ALL a priority. Some districts have actively partnered with internet providers in their communities to offer discounted service fees, others issue hot spots that students can take home, while others have adjusted school library hours to offer more access. Public libraries are another option for helping to address the “homework gap”. Many libraries offer access to free wireless internet, computers and devices, and digital resources. The </w:t>
      </w:r>
      <w:hyperlink r:id="rId24" w:history="1">
        <w:r w:rsidR="00837493" w:rsidRPr="002C4B08">
          <w:rPr>
            <w:rStyle w:val="Hyperlink"/>
            <w:sz w:val="24"/>
            <w:szCs w:val="24"/>
          </w:rPr>
          <w:t>FCC’s Lifeline program</w:t>
        </w:r>
      </w:hyperlink>
      <w:r w:rsidR="00837493" w:rsidRPr="002C4B08">
        <w:rPr>
          <w:sz w:val="24"/>
          <w:szCs w:val="24"/>
        </w:rPr>
        <w:t xml:space="preserve"> is another option for low-income families to acquire discounted broadband service at home. The following chart shows some of the strategies districts are using to address the homework gap.</w:t>
      </w:r>
    </w:p>
    <w:p w14:paraId="710FB04C" w14:textId="77777777" w:rsidR="00837493" w:rsidRPr="002C4B08" w:rsidRDefault="00837493" w:rsidP="00837493">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15"/>
        <w:gridCol w:w="1051"/>
        <w:gridCol w:w="1311"/>
        <w:gridCol w:w="1460"/>
        <w:gridCol w:w="1713"/>
      </w:tblGrid>
      <w:tr w:rsidR="00837493" w:rsidRPr="002C4B08" w14:paraId="3C7F5E5C" w14:textId="77777777" w:rsidTr="00837493">
        <w:trPr>
          <w:trHeight w:val="280"/>
        </w:trPr>
        <w:tc>
          <w:tcPr>
            <w:tcW w:w="5000" w:type="pct"/>
            <w:gridSpan w:val="5"/>
          </w:tcPr>
          <w:p w14:paraId="01EB5743" w14:textId="77777777" w:rsidR="00837493" w:rsidRPr="002C4B08" w:rsidRDefault="00837493" w:rsidP="002864EB">
            <w:pPr>
              <w:jc w:val="center"/>
              <w:rPr>
                <w:b/>
                <w:sz w:val="24"/>
                <w:szCs w:val="24"/>
              </w:rPr>
            </w:pPr>
            <w:r w:rsidRPr="002C4B08">
              <w:rPr>
                <w:b/>
                <w:sz w:val="24"/>
                <w:szCs w:val="24"/>
              </w:rPr>
              <w:t>How Districts Address the Homework Gap</w:t>
            </w:r>
          </w:p>
        </w:tc>
      </w:tr>
      <w:tr w:rsidR="00837493" w:rsidRPr="002C4B08" w14:paraId="4A81B684" w14:textId="77777777" w:rsidTr="00837493">
        <w:tc>
          <w:tcPr>
            <w:tcW w:w="2040" w:type="pct"/>
          </w:tcPr>
          <w:p w14:paraId="7D53D207" w14:textId="77777777" w:rsidR="00837493" w:rsidRPr="002C4B08" w:rsidRDefault="00837493" w:rsidP="002864EB">
            <w:pPr>
              <w:rPr>
                <w:b/>
                <w:sz w:val="24"/>
                <w:szCs w:val="24"/>
              </w:rPr>
            </w:pPr>
            <w:r w:rsidRPr="002C4B08">
              <w:rPr>
                <w:b/>
                <w:sz w:val="24"/>
                <w:szCs w:val="24"/>
              </w:rPr>
              <w:t>Strategies</w:t>
            </w:r>
          </w:p>
        </w:tc>
        <w:tc>
          <w:tcPr>
            <w:tcW w:w="562" w:type="pct"/>
          </w:tcPr>
          <w:p w14:paraId="13AD48E3" w14:textId="77777777" w:rsidR="00837493" w:rsidRPr="002C4B08" w:rsidRDefault="00837493" w:rsidP="002864EB">
            <w:pPr>
              <w:rPr>
                <w:b/>
                <w:sz w:val="24"/>
                <w:szCs w:val="24"/>
              </w:rPr>
            </w:pPr>
            <w:r w:rsidRPr="002C4B08">
              <w:rPr>
                <w:b/>
                <w:sz w:val="24"/>
                <w:szCs w:val="24"/>
              </w:rPr>
              <w:t xml:space="preserve">All </w:t>
            </w:r>
          </w:p>
        </w:tc>
        <w:tc>
          <w:tcPr>
            <w:tcW w:w="701" w:type="pct"/>
          </w:tcPr>
          <w:p w14:paraId="79D1E721" w14:textId="77777777" w:rsidR="00837493" w:rsidRPr="002C4B08" w:rsidRDefault="00837493" w:rsidP="002864EB">
            <w:pPr>
              <w:rPr>
                <w:b/>
                <w:sz w:val="24"/>
                <w:szCs w:val="24"/>
              </w:rPr>
            </w:pPr>
            <w:r w:rsidRPr="002C4B08">
              <w:rPr>
                <w:b/>
                <w:sz w:val="24"/>
                <w:szCs w:val="24"/>
              </w:rPr>
              <w:t>Urban</w:t>
            </w:r>
          </w:p>
        </w:tc>
        <w:tc>
          <w:tcPr>
            <w:tcW w:w="781" w:type="pct"/>
          </w:tcPr>
          <w:p w14:paraId="049CE5D0" w14:textId="77777777" w:rsidR="00837493" w:rsidRPr="002C4B08" w:rsidRDefault="00837493" w:rsidP="002864EB">
            <w:pPr>
              <w:rPr>
                <w:b/>
                <w:sz w:val="24"/>
                <w:szCs w:val="24"/>
              </w:rPr>
            </w:pPr>
            <w:r w:rsidRPr="002C4B08">
              <w:rPr>
                <w:b/>
                <w:sz w:val="24"/>
                <w:szCs w:val="24"/>
              </w:rPr>
              <w:t>Suburban</w:t>
            </w:r>
          </w:p>
        </w:tc>
        <w:tc>
          <w:tcPr>
            <w:tcW w:w="916" w:type="pct"/>
          </w:tcPr>
          <w:p w14:paraId="122903C1" w14:textId="77777777" w:rsidR="00837493" w:rsidRPr="002C4B08" w:rsidRDefault="00837493" w:rsidP="002864EB">
            <w:pPr>
              <w:rPr>
                <w:b/>
                <w:sz w:val="24"/>
                <w:szCs w:val="24"/>
              </w:rPr>
            </w:pPr>
            <w:r w:rsidRPr="002C4B08">
              <w:rPr>
                <w:b/>
                <w:sz w:val="24"/>
                <w:szCs w:val="24"/>
              </w:rPr>
              <w:t>Rural</w:t>
            </w:r>
          </w:p>
        </w:tc>
      </w:tr>
      <w:tr w:rsidR="00837493" w:rsidRPr="002C4B08" w14:paraId="0C36CCD7" w14:textId="77777777" w:rsidTr="00837493">
        <w:tc>
          <w:tcPr>
            <w:tcW w:w="2040" w:type="pct"/>
          </w:tcPr>
          <w:p w14:paraId="6D43B0A7" w14:textId="77777777" w:rsidR="00837493" w:rsidRPr="002C4B08" w:rsidRDefault="00837493" w:rsidP="002864EB">
            <w:pPr>
              <w:rPr>
                <w:sz w:val="24"/>
                <w:szCs w:val="24"/>
              </w:rPr>
            </w:pPr>
            <w:r w:rsidRPr="002C4B08">
              <w:rPr>
                <w:sz w:val="24"/>
                <w:szCs w:val="24"/>
              </w:rPr>
              <w:t>Allowing students on campus early or to stay late to use school connectivity</w:t>
            </w:r>
          </w:p>
        </w:tc>
        <w:tc>
          <w:tcPr>
            <w:tcW w:w="562" w:type="pct"/>
          </w:tcPr>
          <w:p w14:paraId="58DCFA8A" w14:textId="77777777" w:rsidR="00837493" w:rsidRPr="002C4B08" w:rsidRDefault="00837493" w:rsidP="002864EB">
            <w:pPr>
              <w:rPr>
                <w:sz w:val="24"/>
                <w:szCs w:val="24"/>
              </w:rPr>
            </w:pPr>
            <w:r w:rsidRPr="002C4B08">
              <w:rPr>
                <w:sz w:val="24"/>
                <w:szCs w:val="24"/>
              </w:rPr>
              <w:t>67%</w:t>
            </w:r>
          </w:p>
        </w:tc>
        <w:tc>
          <w:tcPr>
            <w:tcW w:w="701" w:type="pct"/>
          </w:tcPr>
          <w:p w14:paraId="30847459" w14:textId="77777777" w:rsidR="00837493" w:rsidRPr="002C4B08" w:rsidRDefault="00837493" w:rsidP="002864EB">
            <w:pPr>
              <w:rPr>
                <w:sz w:val="24"/>
                <w:szCs w:val="24"/>
              </w:rPr>
            </w:pPr>
            <w:r w:rsidRPr="002C4B08">
              <w:rPr>
                <w:sz w:val="24"/>
                <w:szCs w:val="24"/>
              </w:rPr>
              <w:t>69%</w:t>
            </w:r>
          </w:p>
        </w:tc>
        <w:tc>
          <w:tcPr>
            <w:tcW w:w="781" w:type="pct"/>
          </w:tcPr>
          <w:p w14:paraId="6470499B" w14:textId="77777777" w:rsidR="00837493" w:rsidRPr="002C4B08" w:rsidRDefault="00837493" w:rsidP="002864EB">
            <w:pPr>
              <w:rPr>
                <w:sz w:val="24"/>
                <w:szCs w:val="24"/>
              </w:rPr>
            </w:pPr>
            <w:r w:rsidRPr="002C4B08">
              <w:rPr>
                <w:sz w:val="24"/>
                <w:szCs w:val="24"/>
              </w:rPr>
              <w:t>71%</w:t>
            </w:r>
          </w:p>
        </w:tc>
        <w:tc>
          <w:tcPr>
            <w:tcW w:w="916" w:type="pct"/>
          </w:tcPr>
          <w:p w14:paraId="42C49FE4" w14:textId="77777777" w:rsidR="00837493" w:rsidRPr="002C4B08" w:rsidRDefault="00837493" w:rsidP="002864EB">
            <w:pPr>
              <w:rPr>
                <w:sz w:val="24"/>
                <w:szCs w:val="24"/>
              </w:rPr>
            </w:pPr>
            <w:r w:rsidRPr="002C4B08">
              <w:rPr>
                <w:sz w:val="24"/>
                <w:szCs w:val="24"/>
              </w:rPr>
              <w:t>63%</w:t>
            </w:r>
          </w:p>
        </w:tc>
      </w:tr>
      <w:tr w:rsidR="00837493" w:rsidRPr="002C4B08" w14:paraId="0BD6429B" w14:textId="77777777" w:rsidTr="00837493">
        <w:tc>
          <w:tcPr>
            <w:tcW w:w="2040" w:type="pct"/>
          </w:tcPr>
          <w:p w14:paraId="2D5D13DF" w14:textId="77777777" w:rsidR="00837493" w:rsidRPr="002C4B08" w:rsidRDefault="00837493" w:rsidP="002864EB">
            <w:pPr>
              <w:rPr>
                <w:sz w:val="24"/>
                <w:szCs w:val="24"/>
              </w:rPr>
            </w:pPr>
            <w:r w:rsidRPr="002C4B08">
              <w:rPr>
                <w:sz w:val="24"/>
                <w:szCs w:val="24"/>
              </w:rPr>
              <w:t>Encouraging libraries to provide priority access to students</w:t>
            </w:r>
          </w:p>
        </w:tc>
        <w:tc>
          <w:tcPr>
            <w:tcW w:w="562" w:type="pct"/>
          </w:tcPr>
          <w:p w14:paraId="66D01B97" w14:textId="77777777" w:rsidR="00837493" w:rsidRPr="002C4B08" w:rsidRDefault="00837493" w:rsidP="002864EB">
            <w:pPr>
              <w:rPr>
                <w:sz w:val="24"/>
                <w:szCs w:val="24"/>
              </w:rPr>
            </w:pPr>
            <w:r w:rsidRPr="002C4B08">
              <w:rPr>
                <w:sz w:val="24"/>
                <w:szCs w:val="24"/>
              </w:rPr>
              <w:t>54%</w:t>
            </w:r>
          </w:p>
        </w:tc>
        <w:tc>
          <w:tcPr>
            <w:tcW w:w="701" w:type="pct"/>
          </w:tcPr>
          <w:p w14:paraId="58BF57EE" w14:textId="77777777" w:rsidR="00837493" w:rsidRPr="002C4B08" w:rsidRDefault="00837493" w:rsidP="002864EB">
            <w:pPr>
              <w:rPr>
                <w:sz w:val="24"/>
                <w:szCs w:val="24"/>
              </w:rPr>
            </w:pPr>
            <w:r w:rsidRPr="002C4B08">
              <w:rPr>
                <w:sz w:val="24"/>
                <w:szCs w:val="24"/>
              </w:rPr>
              <w:t>55%</w:t>
            </w:r>
          </w:p>
        </w:tc>
        <w:tc>
          <w:tcPr>
            <w:tcW w:w="781" w:type="pct"/>
          </w:tcPr>
          <w:p w14:paraId="3F9D2AC4" w14:textId="77777777" w:rsidR="00837493" w:rsidRPr="002C4B08" w:rsidRDefault="00837493" w:rsidP="002864EB">
            <w:pPr>
              <w:rPr>
                <w:sz w:val="24"/>
                <w:szCs w:val="24"/>
              </w:rPr>
            </w:pPr>
            <w:r w:rsidRPr="002C4B08">
              <w:rPr>
                <w:sz w:val="24"/>
                <w:szCs w:val="24"/>
              </w:rPr>
              <w:t>47%</w:t>
            </w:r>
          </w:p>
        </w:tc>
        <w:tc>
          <w:tcPr>
            <w:tcW w:w="916" w:type="pct"/>
          </w:tcPr>
          <w:p w14:paraId="0B7E6ADC" w14:textId="77777777" w:rsidR="00837493" w:rsidRPr="002C4B08" w:rsidRDefault="00837493" w:rsidP="002864EB">
            <w:pPr>
              <w:rPr>
                <w:sz w:val="24"/>
                <w:szCs w:val="24"/>
              </w:rPr>
            </w:pPr>
            <w:r w:rsidRPr="002C4B08">
              <w:rPr>
                <w:sz w:val="24"/>
                <w:szCs w:val="24"/>
              </w:rPr>
              <w:t>61%</w:t>
            </w:r>
          </w:p>
        </w:tc>
      </w:tr>
      <w:tr w:rsidR="00837493" w:rsidRPr="002C4B08" w14:paraId="468EC2EB" w14:textId="77777777" w:rsidTr="00837493">
        <w:tc>
          <w:tcPr>
            <w:tcW w:w="2040" w:type="pct"/>
          </w:tcPr>
          <w:p w14:paraId="35C5EF21" w14:textId="77777777" w:rsidR="00837493" w:rsidRPr="002C4B08" w:rsidRDefault="00837493" w:rsidP="002864EB">
            <w:pPr>
              <w:rPr>
                <w:sz w:val="24"/>
                <w:szCs w:val="24"/>
              </w:rPr>
            </w:pPr>
            <w:r w:rsidRPr="002C4B08">
              <w:rPr>
                <w:sz w:val="24"/>
                <w:szCs w:val="24"/>
              </w:rPr>
              <w:t xml:space="preserve">Discouraging teachers from assigning HW that is internet dependent  </w:t>
            </w:r>
          </w:p>
        </w:tc>
        <w:tc>
          <w:tcPr>
            <w:tcW w:w="562" w:type="pct"/>
          </w:tcPr>
          <w:p w14:paraId="05738F05" w14:textId="77777777" w:rsidR="00837493" w:rsidRPr="002C4B08" w:rsidRDefault="00837493" w:rsidP="002864EB">
            <w:pPr>
              <w:rPr>
                <w:sz w:val="24"/>
                <w:szCs w:val="24"/>
              </w:rPr>
            </w:pPr>
            <w:r w:rsidRPr="002C4B08">
              <w:rPr>
                <w:sz w:val="24"/>
                <w:szCs w:val="24"/>
              </w:rPr>
              <w:t>40%</w:t>
            </w:r>
          </w:p>
        </w:tc>
        <w:tc>
          <w:tcPr>
            <w:tcW w:w="701" w:type="pct"/>
          </w:tcPr>
          <w:p w14:paraId="3D4277FA" w14:textId="77777777" w:rsidR="00837493" w:rsidRPr="002C4B08" w:rsidRDefault="00837493" w:rsidP="002864EB">
            <w:pPr>
              <w:rPr>
                <w:sz w:val="24"/>
                <w:szCs w:val="24"/>
              </w:rPr>
            </w:pPr>
            <w:r w:rsidRPr="002C4B08">
              <w:rPr>
                <w:sz w:val="24"/>
                <w:szCs w:val="24"/>
              </w:rPr>
              <w:t>38%</w:t>
            </w:r>
          </w:p>
        </w:tc>
        <w:tc>
          <w:tcPr>
            <w:tcW w:w="781" w:type="pct"/>
          </w:tcPr>
          <w:p w14:paraId="3A017E66" w14:textId="77777777" w:rsidR="00837493" w:rsidRPr="002C4B08" w:rsidRDefault="00837493" w:rsidP="002864EB">
            <w:pPr>
              <w:rPr>
                <w:sz w:val="24"/>
                <w:szCs w:val="24"/>
              </w:rPr>
            </w:pPr>
            <w:r w:rsidRPr="002C4B08">
              <w:rPr>
                <w:sz w:val="24"/>
                <w:szCs w:val="24"/>
              </w:rPr>
              <w:t>36%</w:t>
            </w:r>
          </w:p>
        </w:tc>
        <w:tc>
          <w:tcPr>
            <w:tcW w:w="916" w:type="pct"/>
          </w:tcPr>
          <w:p w14:paraId="665ADAF4" w14:textId="77777777" w:rsidR="00837493" w:rsidRPr="002C4B08" w:rsidRDefault="00837493" w:rsidP="002864EB">
            <w:pPr>
              <w:rPr>
                <w:sz w:val="24"/>
                <w:szCs w:val="24"/>
              </w:rPr>
            </w:pPr>
            <w:r w:rsidRPr="002C4B08">
              <w:rPr>
                <w:sz w:val="24"/>
                <w:szCs w:val="24"/>
              </w:rPr>
              <w:t>48%</w:t>
            </w:r>
          </w:p>
        </w:tc>
      </w:tr>
      <w:tr w:rsidR="00837493" w:rsidRPr="002C4B08" w14:paraId="69FEAFA3" w14:textId="77777777" w:rsidTr="00837493">
        <w:tc>
          <w:tcPr>
            <w:tcW w:w="2040" w:type="pct"/>
          </w:tcPr>
          <w:p w14:paraId="6DD88A02" w14:textId="77777777" w:rsidR="00837493" w:rsidRPr="002C4B08" w:rsidRDefault="00837493" w:rsidP="002864EB">
            <w:pPr>
              <w:rPr>
                <w:sz w:val="24"/>
                <w:szCs w:val="24"/>
              </w:rPr>
            </w:pPr>
            <w:r w:rsidRPr="002C4B08">
              <w:rPr>
                <w:sz w:val="24"/>
                <w:szCs w:val="24"/>
              </w:rPr>
              <w:lastRenderedPageBreak/>
              <w:t xml:space="preserve">Equipping buses with </w:t>
            </w:r>
            <w:proofErr w:type="spellStart"/>
            <w:r w:rsidRPr="002C4B08">
              <w:rPr>
                <w:sz w:val="24"/>
                <w:szCs w:val="24"/>
              </w:rPr>
              <w:t>wifi</w:t>
            </w:r>
            <w:proofErr w:type="spellEnd"/>
          </w:p>
        </w:tc>
        <w:tc>
          <w:tcPr>
            <w:tcW w:w="562" w:type="pct"/>
          </w:tcPr>
          <w:p w14:paraId="27336A5C" w14:textId="77777777" w:rsidR="00837493" w:rsidRPr="002C4B08" w:rsidRDefault="00837493" w:rsidP="002864EB">
            <w:pPr>
              <w:rPr>
                <w:sz w:val="24"/>
                <w:szCs w:val="24"/>
              </w:rPr>
            </w:pPr>
            <w:r w:rsidRPr="002C4B08">
              <w:rPr>
                <w:sz w:val="24"/>
                <w:szCs w:val="24"/>
              </w:rPr>
              <w:t>8%</w:t>
            </w:r>
          </w:p>
        </w:tc>
        <w:tc>
          <w:tcPr>
            <w:tcW w:w="701" w:type="pct"/>
          </w:tcPr>
          <w:p w14:paraId="7A841A2B" w14:textId="77777777" w:rsidR="00837493" w:rsidRPr="002C4B08" w:rsidRDefault="00837493" w:rsidP="002864EB">
            <w:pPr>
              <w:rPr>
                <w:sz w:val="24"/>
                <w:szCs w:val="24"/>
              </w:rPr>
            </w:pPr>
            <w:r w:rsidRPr="002C4B08">
              <w:rPr>
                <w:sz w:val="24"/>
                <w:szCs w:val="24"/>
              </w:rPr>
              <w:t>6%</w:t>
            </w:r>
          </w:p>
        </w:tc>
        <w:tc>
          <w:tcPr>
            <w:tcW w:w="781" w:type="pct"/>
          </w:tcPr>
          <w:p w14:paraId="38ECE027" w14:textId="77777777" w:rsidR="00837493" w:rsidRPr="002C4B08" w:rsidRDefault="00837493" w:rsidP="002864EB">
            <w:pPr>
              <w:rPr>
                <w:sz w:val="24"/>
                <w:szCs w:val="24"/>
              </w:rPr>
            </w:pPr>
            <w:r w:rsidRPr="002C4B08">
              <w:rPr>
                <w:sz w:val="24"/>
                <w:szCs w:val="24"/>
              </w:rPr>
              <w:t>9%</w:t>
            </w:r>
          </w:p>
        </w:tc>
        <w:tc>
          <w:tcPr>
            <w:tcW w:w="916" w:type="pct"/>
          </w:tcPr>
          <w:p w14:paraId="72600DCF" w14:textId="77777777" w:rsidR="00837493" w:rsidRPr="002C4B08" w:rsidRDefault="00837493" w:rsidP="002864EB">
            <w:pPr>
              <w:rPr>
                <w:sz w:val="24"/>
                <w:szCs w:val="24"/>
              </w:rPr>
            </w:pPr>
            <w:r w:rsidRPr="002C4B08">
              <w:rPr>
                <w:sz w:val="24"/>
                <w:szCs w:val="24"/>
              </w:rPr>
              <w:t>7%</w:t>
            </w:r>
          </w:p>
        </w:tc>
      </w:tr>
      <w:tr w:rsidR="00837493" w:rsidRPr="002C4B08" w14:paraId="59BF0EB1" w14:textId="77777777" w:rsidTr="00837493">
        <w:tc>
          <w:tcPr>
            <w:tcW w:w="2040" w:type="pct"/>
          </w:tcPr>
          <w:p w14:paraId="6AA500B7" w14:textId="77777777" w:rsidR="00837493" w:rsidRPr="002C4B08" w:rsidRDefault="00837493" w:rsidP="002864EB">
            <w:pPr>
              <w:rPr>
                <w:sz w:val="24"/>
                <w:szCs w:val="24"/>
              </w:rPr>
            </w:pPr>
            <w:r w:rsidRPr="002C4B08">
              <w:rPr>
                <w:sz w:val="24"/>
                <w:szCs w:val="24"/>
              </w:rPr>
              <w:t xml:space="preserve">Telling students to download assignments to USB sticks </w:t>
            </w:r>
          </w:p>
        </w:tc>
        <w:tc>
          <w:tcPr>
            <w:tcW w:w="562" w:type="pct"/>
          </w:tcPr>
          <w:p w14:paraId="57195A06" w14:textId="77777777" w:rsidR="00837493" w:rsidRPr="002C4B08" w:rsidRDefault="00837493" w:rsidP="002864EB">
            <w:pPr>
              <w:rPr>
                <w:sz w:val="24"/>
                <w:szCs w:val="24"/>
              </w:rPr>
            </w:pPr>
            <w:r w:rsidRPr="002C4B08">
              <w:rPr>
                <w:sz w:val="24"/>
                <w:szCs w:val="24"/>
              </w:rPr>
              <w:t>44%</w:t>
            </w:r>
          </w:p>
        </w:tc>
        <w:tc>
          <w:tcPr>
            <w:tcW w:w="701" w:type="pct"/>
          </w:tcPr>
          <w:p w14:paraId="029F8774" w14:textId="77777777" w:rsidR="00837493" w:rsidRPr="002C4B08" w:rsidRDefault="00837493" w:rsidP="002864EB">
            <w:pPr>
              <w:rPr>
                <w:sz w:val="24"/>
                <w:szCs w:val="24"/>
              </w:rPr>
            </w:pPr>
            <w:r w:rsidRPr="002C4B08">
              <w:rPr>
                <w:sz w:val="24"/>
                <w:szCs w:val="24"/>
              </w:rPr>
              <w:t>48%</w:t>
            </w:r>
          </w:p>
        </w:tc>
        <w:tc>
          <w:tcPr>
            <w:tcW w:w="781" w:type="pct"/>
          </w:tcPr>
          <w:p w14:paraId="3D1C1680" w14:textId="77777777" w:rsidR="00837493" w:rsidRPr="002C4B08" w:rsidRDefault="00837493" w:rsidP="002864EB">
            <w:pPr>
              <w:rPr>
                <w:sz w:val="24"/>
                <w:szCs w:val="24"/>
              </w:rPr>
            </w:pPr>
            <w:r w:rsidRPr="002C4B08">
              <w:rPr>
                <w:sz w:val="24"/>
                <w:szCs w:val="24"/>
              </w:rPr>
              <w:t>37%</w:t>
            </w:r>
          </w:p>
        </w:tc>
        <w:tc>
          <w:tcPr>
            <w:tcW w:w="916" w:type="pct"/>
          </w:tcPr>
          <w:p w14:paraId="79981087" w14:textId="77777777" w:rsidR="00837493" w:rsidRPr="002C4B08" w:rsidRDefault="00837493" w:rsidP="002864EB">
            <w:pPr>
              <w:rPr>
                <w:sz w:val="24"/>
                <w:szCs w:val="24"/>
              </w:rPr>
            </w:pPr>
            <w:r w:rsidRPr="002C4B08">
              <w:rPr>
                <w:sz w:val="24"/>
                <w:szCs w:val="24"/>
              </w:rPr>
              <w:t>52%</w:t>
            </w:r>
          </w:p>
        </w:tc>
      </w:tr>
      <w:tr w:rsidR="00837493" w:rsidRPr="002C4B08" w14:paraId="1A7A1B69" w14:textId="77777777" w:rsidTr="00837493">
        <w:tc>
          <w:tcPr>
            <w:tcW w:w="2040" w:type="pct"/>
          </w:tcPr>
          <w:p w14:paraId="11A37BB0" w14:textId="77777777" w:rsidR="00837493" w:rsidRPr="002C4B08" w:rsidRDefault="00837493" w:rsidP="002864EB">
            <w:pPr>
              <w:rPr>
                <w:sz w:val="24"/>
                <w:szCs w:val="24"/>
              </w:rPr>
            </w:pPr>
            <w:r w:rsidRPr="002C4B08">
              <w:rPr>
                <w:sz w:val="24"/>
                <w:szCs w:val="24"/>
              </w:rPr>
              <w:t xml:space="preserve">Giving parents info about low cost data and internet plans  </w:t>
            </w:r>
          </w:p>
        </w:tc>
        <w:tc>
          <w:tcPr>
            <w:tcW w:w="562" w:type="pct"/>
          </w:tcPr>
          <w:p w14:paraId="47CCCB2E" w14:textId="77777777" w:rsidR="00837493" w:rsidRPr="002C4B08" w:rsidRDefault="00837493" w:rsidP="002864EB">
            <w:pPr>
              <w:rPr>
                <w:sz w:val="24"/>
                <w:szCs w:val="24"/>
              </w:rPr>
            </w:pPr>
            <w:r w:rsidRPr="002C4B08">
              <w:rPr>
                <w:sz w:val="24"/>
                <w:szCs w:val="24"/>
              </w:rPr>
              <w:t>36%</w:t>
            </w:r>
          </w:p>
        </w:tc>
        <w:tc>
          <w:tcPr>
            <w:tcW w:w="701" w:type="pct"/>
          </w:tcPr>
          <w:p w14:paraId="169B7F0D" w14:textId="77777777" w:rsidR="00837493" w:rsidRPr="002C4B08" w:rsidRDefault="00837493" w:rsidP="002864EB">
            <w:pPr>
              <w:rPr>
                <w:sz w:val="24"/>
                <w:szCs w:val="24"/>
              </w:rPr>
            </w:pPr>
            <w:r w:rsidRPr="002C4B08">
              <w:rPr>
                <w:sz w:val="24"/>
                <w:szCs w:val="24"/>
              </w:rPr>
              <w:t>49%</w:t>
            </w:r>
          </w:p>
        </w:tc>
        <w:tc>
          <w:tcPr>
            <w:tcW w:w="781" w:type="pct"/>
          </w:tcPr>
          <w:p w14:paraId="6665D94E" w14:textId="77777777" w:rsidR="00837493" w:rsidRPr="002C4B08" w:rsidRDefault="00837493" w:rsidP="002864EB">
            <w:pPr>
              <w:rPr>
                <w:sz w:val="24"/>
                <w:szCs w:val="24"/>
              </w:rPr>
            </w:pPr>
            <w:r w:rsidRPr="002C4B08">
              <w:rPr>
                <w:sz w:val="24"/>
                <w:szCs w:val="24"/>
              </w:rPr>
              <w:t>38%</w:t>
            </w:r>
          </w:p>
        </w:tc>
        <w:tc>
          <w:tcPr>
            <w:tcW w:w="916" w:type="pct"/>
          </w:tcPr>
          <w:p w14:paraId="6C4E7F64" w14:textId="77777777" w:rsidR="00837493" w:rsidRPr="002C4B08" w:rsidRDefault="00837493" w:rsidP="002864EB">
            <w:pPr>
              <w:rPr>
                <w:sz w:val="24"/>
                <w:szCs w:val="24"/>
              </w:rPr>
            </w:pPr>
            <w:r w:rsidRPr="002C4B08">
              <w:rPr>
                <w:sz w:val="24"/>
                <w:szCs w:val="24"/>
              </w:rPr>
              <w:t>28%</w:t>
            </w:r>
          </w:p>
        </w:tc>
      </w:tr>
      <w:tr w:rsidR="00837493" w:rsidRPr="002C4B08" w14:paraId="4B915408" w14:textId="77777777" w:rsidTr="00837493">
        <w:tc>
          <w:tcPr>
            <w:tcW w:w="2040" w:type="pct"/>
          </w:tcPr>
          <w:p w14:paraId="597A5D31" w14:textId="77777777" w:rsidR="00837493" w:rsidRPr="002C4B08" w:rsidRDefault="00837493" w:rsidP="002864EB">
            <w:pPr>
              <w:rPr>
                <w:sz w:val="24"/>
                <w:szCs w:val="24"/>
              </w:rPr>
            </w:pPr>
            <w:r w:rsidRPr="002C4B08">
              <w:rPr>
                <w:sz w:val="24"/>
                <w:szCs w:val="24"/>
              </w:rPr>
              <w:t xml:space="preserve">Enlarging </w:t>
            </w:r>
            <w:proofErr w:type="spellStart"/>
            <w:r w:rsidRPr="002C4B08">
              <w:rPr>
                <w:sz w:val="24"/>
                <w:szCs w:val="24"/>
              </w:rPr>
              <w:t>wifi</w:t>
            </w:r>
            <w:proofErr w:type="spellEnd"/>
            <w:r w:rsidRPr="002C4B08">
              <w:rPr>
                <w:sz w:val="24"/>
                <w:szCs w:val="24"/>
              </w:rPr>
              <w:t xml:space="preserve"> areas to include school parking lots</w:t>
            </w:r>
          </w:p>
        </w:tc>
        <w:tc>
          <w:tcPr>
            <w:tcW w:w="562" w:type="pct"/>
          </w:tcPr>
          <w:p w14:paraId="4655F6AB" w14:textId="77777777" w:rsidR="00837493" w:rsidRPr="002C4B08" w:rsidRDefault="00837493" w:rsidP="002864EB">
            <w:pPr>
              <w:rPr>
                <w:sz w:val="24"/>
                <w:szCs w:val="24"/>
              </w:rPr>
            </w:pPr>
            <w:r w:rsidRPr="002C4B08">
              <w:rPr>
                <w:sz w:val="24"/>
                <w:szCs w:val="24"/>
              </w:rPr>
              <w:t>34%</w:t>
            </w:r>
          </w:p>
        </w:tc>
        <w:tc>
          <w:tcPr>
            <w:tcW w:w="701" w:type="pct"/>
          </w:tcPr>
          <w:p w14:paraId="6AE4DE1A" w14:textId="77777777" w:rsidR="00837493" w:rsidRPr="002C4B08" w:rsidRDefault="00837493" w:rsidP="002864EB">
            <w:pPr>
              <w:rPr>
                <w:sz w:val="24"/>
                <w:szCs w:val="24"/>
              </w:rPr>
            </w:pPr>
            <w:r w:rsidRPr="002C4B08">
              <w:rPr>
                <w:sz w:val="24"/>
                <w:szCs w:val="24"/>
              </w:rPr>
              <w:t>28%</w:t>
            </w:r>
          </w:p>
        </w:tc>
        <w:tc>
          <w:tcPr>
            <w:tcW w:w="781" w:type="pct"/>
          </w:tcPr>
          <w:p w14:paraId="69297F6F" w14:textId="77777777" w:rsidR="00837493" w:rsidRPr="002C4B08" w:rsidRDefault="00837493" w:rsidP="002864EB">
            <w:pPr>
              <w:rPr>
                <w:sz w:val="24"/>
                <w:szCs w:val="24"/>
              </w:rPr>
            </w:pPr>
            <w:r w:rsidRPr="002C4B08">
              <w:rPr>
                <w:sz w:val="24"/>
                <w:szCs w:val="24"/>
              </w:rPr>
              <w:t>22%</w:t>
            </w:r>
          </w:p>
        </w:tc>
        <w:tc>
          <w:tcPr>
            <w:tcW w:w="916" w:type="pct"/>
          </w:tcPr>
          <w:p w14:paraId="780AA60E" w14:textId="77777777" w:rsidR="00837493" w:rsidRPr="002C4B08" w:rsidRDefault="00837493" w:rsidP="002864EB">
            <w:pPr>
              <w:rPr>
                <w:sz w:val="24"/>
                <w:szCs w:val="24"/>
              </w:rPr>
            </w:pPr>
            <w:r w:rsidRPr="002C4B08">
              <w:rPr>
                <w:sz w:val="24"/>
                <w:szCs w:val="24"/>
              </w:rPr>
              <w:t>47%</w:t>
            </w:r>
          </w:p>
        </w:tc>
      </w:tr>
    </w:tbl>
    <w:p w14:paraId="215194F2" w14:textId="77777777" w:rsidR="00837493" w:rsidRPr="002C4B08" w:rsidRDefault="00837493" w:rsidP="00837493">
      <w:pPr>
        <w:rPr>
          <w:sz w:val="24"/>
          <w:szCs w:val="24"/>
        </w:rPr>
      </w:pPr>
    </w:p>
    <w:p w14:paraId="51CBB9D1" w14:textId="77777777" w:rsidR="00685FC9" w:rsidRPr="002C4B08" w:rsidRDefault="0057420E" w:rsidP="005F1988">
      <w:pPr>
        <w:spacing w:line="240" w:lineRule="auto"/>
        <w:ind w:left="-80"/>
        <w:outlineLvl w:val="0"/>
        <w:rPr>
          <w:sz w:val="24"/>
          <w:szCs w:val="24"/>
        </w:rPr>
      </w:pPr>
      <w:r w:rsidRPr="002C4B08">
        <w:rPr>
          <w:b/>
          <w:sz w:val="24"/>
          <w:szCs w:val="24"/>
        </w:rPr>
        <w:t xml:space="preserve">Learn more </w:t>
      </w:r>
      <w:r w:rsidR="001F081A" w:rsidRPr="002C4B08">
        <w:rPr>
          <w:b/>
          <w:sz w:val="24"/>
          <w:szCs w:val="24"/>
        </w:rPr>
        <w:t xml:space="preserve">about </w:t>
      </w:r>
      <w:r w:rsidR="00685FC9" w:rsidRPr="002C4B08">
        <w:rPr>
          <w:b/>
          <w:sz w:val="24"/>
          <w:szCs w:val="24"/>
        </w:rPr>
        <w:t xml:space="preserve">ways your districts can address </w:t>
      </w:r>
      <w:r w:rsidR="001F081A" w:rsidRPr="002C4B08">
        <w:rPr>
          <w:b/>
          <w:sz w:val="24"/>
          <w:szCs w:val="24"/>
        </w:rPr>
        <w:t>the homework gap</w:t>
      </w:r>
    </w:p>
    <w:p w14:paraId="2B566015" w14:textId="77777777" w:rsidR="002218CA" w:rsidRPr="002C4B08" w:rsidRDefault="004D4303" w:rsidP="005F1988">
      <w:pPr>
        <w:spacing w:line="240" w:lineRule="auto"/>
        <w:ind w:left="-80"/>
        <w:outlineLvl w:val="0"/>
        <w:rPr>
          <w:color w:val="0563C1" w:themeColor="hyperlink"/>
          <w:sz w:val="24"/>
          <w:szCs w:val="24"/>
          <w:u w:val="single"/>
        </w:rPr>
      </w:pPr>
      <w:hyperlink r:id="rId25">
        <w:proofErr w:type="spellStart"/>
        <w:r w:rsidR="002218CA" w:rsidRPr="002C4B08">
          <w:rPr>
            <w:color w:val="1155CC"/>
            <w:sz w:val="24"/>
            <w:szCs w:val="24"/>
            <w:u w:val="single"/>
          </w:rPr>
          <w:t>CoSN’s</w:t>
        </w:r>
        <w:proofErr w:type="spellEnd"/>
        <w:r w:rsidR="002218CA" w:rsidRPr="002C4B08">
          <w:rPr>
            <w:color w:val="1155CC"/>
            <w:sz w:val="24"/>
            <w:szCs w:val="24"/>
            <w:u w:val="single"/>
          </w:rPr>
          <w:t xml:space="preserve"> 2016 Annual Infrastructure Survey </w:t>
        </w:r>
      </w:hyperlink>
    </w:p>
    <w:p w14:paraId="2BB0BEF4" w14:textId="77777777" w:rsidR="002218CA" w:rsidRPr="002C4B08" w:rsidRDefault="004D4303" w:rsidP="005F1988">
      <w:pPr>
        <w:spacing w:line="240" w:lineRule="auto"/>
        <w:ind w:left="-80"/>
        <w:outlineLvl w:val="0"/>
        <w:rPr>
          <w:rStyle w:val="Hyperlink"/>
          <w:sz w:val="24"/>
          <w:szCs w:val="24"/>
        </w:rPr>
      </w:pPr>
      <w:hyperlink r:id="rId26" w:history="1">
        <w:r w:rsidR="002218CA" w:rsidRPr="002C4B08">
          <w:rPr>
            <w:rStyle w:val="Hyperlink"/>
            <w:sz w:val="24"/>
            <w:szCs w:val="24"/>
          </w:rPr>
          <w:t>FCC Lifeline Program</w:t>
        </w:r>
      </w:hyperlink>
    </w:p>
    <w:p w14:paraId="369A53E5" w14:textId="77777777" w:rsidR="002218CA" w:rsidRPr="002C4B08" w:rsidRDefault="004D4303" w:rsidP="005F1988">
      <w:pPr>
        <w:spacing w:line="240" w:lineRule="auto"/>
        <w:ind w:left="-80"/>
        <w:outlineLvl w:val="0"/>
        <w:rPr>
          <w:sz w:val="24"/>
          <w:szCs w:val="24"/>
        </w:rPr>
      </w:pPr>
      <w:hyperlink r:id="rId27" w:history="1">
        <w:r w:rsidR="002218CA" w:rsidRPr="002C4B08">
          <w:rPr>
            <w:rStyle w:val="Hyperlink"/>
            <w:sz w:val="24"/>
            <w:szCs w:val="24"/>
          </w:rPr>
          <w:t>Protecting Equity through Family-School Partnerships</w:t>
        </w:r>
      </w:hyperlink>
    </w:p>
    <w:p w14:paraId="599151B1" w14:textId="77777777" w:rsidR="002218CA" w:rsidRDefault="004D4303" w:rsidP="005F1988">
      <w:pPr>
        <w:spacing w:line="240" w:lineRule="auto"/>
        <w:ind w:left="-80"/>
        <w:outlineLvl w:val="0"/>
        <w:rPr>
          <w:sz w:val="24"/>
          <w:szCs w:val="24"/>
        </w:rPr>
      </w:pPr>
      <w:hyperlink r:id="rId28">
        <w:r w:rsidR="002218CA" w:rsidRPr="002C4B08">
          <w:rPr>
            <w:color w:val="0000FF"/>
            <w:sz w:val="24"/>
            <w:szCs w:val="24"/>
            <w:u w:val="single"/>
          </w:rPr>
          <w:t>State K-12 Broadband Leadership: Driving Connectivity and Access</w:t>
        </w:r>
      </w:hyperlink>
      <w:r w:rsidR="002218CA" w:rsidRPr="002C4B08">
        <w:rPr>
          <w:sz w:val="24"/>
          <w:szCs w:val="24"/>
        </w:rPr>
        <w:t xml:space="preserve"> </w:t>
      </w:r>
    </w:p>
    <w:p w14:paraId="790343A3" w14:textId="4D7B36AF" w:rsidR="006036D1" w:rsidRDefault="006036D1" w:rsidP="00837493">
      <w:pPr>
        <w:spacing w:line="240" w:lineRule="auto"/>
        <w:ind w:left="-80"/>
        <w:rPr>
          <w:sz w:val="24"/>
          <w:szCs w:val="24"/>
        </w:rPr>
      </w:pPr>
    </w:p>
    <w:p w14:paraId="062A63B4" w14:textId="77777777" w:rsidR="00837493" w:rsidRPr="002C4B08" w:rsidRDefault="00837493" w:rsidP="00685FC9">
      <w:pPr>
        <w:spacing w:line="240" w:lineRule="auto"/>
        <w:ind w:left="-80"/>
        <w:rPr>
          <w:sz w:val="24"/>
          <w:szCs w:val="24"/>
        </w:rPr>
      </w:pPr>
    </w:p>
    <w:p w14:paraId="233F9183" w14:textId="5957CCE1" w:rsidR="00A61126" w:rsidRPr="005F1988" w:rsidRDefault="005F1988" w:rsidP="005F1988">
      <w:pPr>
        <w:spacing w:line="240" w:lineRule="auto"/>
        <w:ind w:left="-80"/>
        <w:outlineLvl w:val="0"/>
        <w:rPr>
          <w:b/>
          <w:color w:val="00A79D"/>
          <w:sz w:val="24"/>
          <w:szCs w:val="24"/>
        </w:rPr>
      </w:pPr>
      <w:r>
        <w:rPr>
          <w:b/>
          <w:color w:val="00A79D"/>
          <w:sz w:val="24"/>
          <w:szCs w:val="24"/>
        </w:rPr>
        <w:t>TRANSFORMING DIGITAL LEARNING</w:t>
      </w:r>
    </w:p>
    <w:p w14:paraId="58BE0D01" w14:textId="352F185D" w:rsidR="00A61126" w:rsidRPr="002C4B08" w:rsidRDefault="006036D1">
      <w:pPr>
        <w:spacing w:line="240" w:lineRule="auto"/>
        <w:ind w:left="-80"/>
        <w:rPr>
          <w:b/>
          <w:sz w:val="24"/>
          <w:szCs w:val="24"/>
        </w:rPr>
      </w:pPr>
      <w:r w:rsidRPr="002C4B08">
        <w:rPr>
          <w:noProof/>
          <w:sz w:val="24"/>
          <w:szCs w:val="24"/>
        </w:rPr>
        <w:drawing>
          <wp:anchor distT="0" distB="0" distL="114300" distR="114300" simplePos="0" relativeHeight="251674112" behindDoc="0" locked="0" layoutInCell="1" allowOverlap="1" wp14:anchorId="0D4BFFA7" wp14:editId="410ECC71">
            <wp:simplePos x="0" y="0"/>
            <wp:positionH relativeFrom="column">
              <wp:posOffset>-31750</wp:posOffset>
            </wp:positionH>
            <wp:positionV relativeFrom="paragraph">
              <wp:posOffset>183515</wp:posOffset>
            </wp:positionV>
            <wp:extent cx="1645920" cy="1645920"/>
            <wp:effectExtent l="0" t="0" r="0" b="0"/>
            <wp:wrapSquare wrapText="bothSides"/>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9"/>
                    <a:srcRect l="12500" r="12500"/>
                    <a:stretch>
                      <a:fillRect/>
                    </a:stretch>
                  </pic:blipFill>
                  <pic:spPr>
                    <a:xfrm>
                      <a:off x="0" y="0"/>
                      <a:ext cx="1645920" cy="1645920"/>
                    </a:xfrm>
                    <a:prstGeom prst="rect">
                      <a:avLst/>
                    </a:prstGeom>
                    <a:ln/>
                  </pic:spPr>
                </pic:pic>
              </a:graphicData>
            </a:graphic>
            <wp14:sizeRelH relativeFrom="margin">
              <wp14:pctWidth>0</wp14:pctWidth>
            </wp14:sizeRelH>
            <wp14:sizeRelV relativeFrom="margin">
              <wp14:pctHeight>0</wp14:pctHeight>
            </wp14:sizeRelV>
          </wp:anchor>
        </w:drawing>
      </w:r>
    </w:p>
    <w:p w14:paraId="6C31B930" w14:textId="77777777" w:rsidR="006036D1" w:rsidRDefault="006036D1">
      <w:pPr>
        <w:spacing w:line="240" w:lineRule="auto"/>
        <w:ind w:left="-80"/>
        <w:rPr>
          <w:b/>
          <w:sz w:val="24"/>
          <w:szCs w:val="24"/>
        </w:rPr>
      </w:pPr>
    </w:p>
    <w:p w14:paraId="0E05C4F8" w14:textId="3855D67D" w:rsidR="00A61126" w:rsidRPr="002C4B08" w:rsidRDefault="0057420E" w:rsidP="005F1988">
      <w:pPr>
        <w:spacing w:line="240" w:lineRule="auto"/>
        <w:ind w:left="-80"/>
        <w:outlineLvl w:val="0"/>
        <w:rPr>
          <w:b/>
          <w:sz w:val="24"/>
          <w:szCs w:val="24"/>
        </w:rPr>
      </w:pPr>
      <w:r w:rsidRPr="002C4B08">
        <w:rPr>
          <w:b/>
          <w:sz w:val="24"/>
          <w:szCs w:val="24"/>
        </w:rPr>
        <w:t>Vista Unified, California: Strategic Partnerships and a Model of Innovation</w:t>
      </w:r>
    </w:p>
    <w:p w14:paraId="0E621D43" w14:textId="56828961" w:rsidR="00A61126" w:rsidRPr="002C4B08" w:rsidRDefault="0057420E">
      <w:pPr>
        <w:spacing w:line="240" w:lineRule="auto"/>
        <w:ind w:left="-80"/>
        <w:rPr>
          <w:b/>
          <w:sz w:val="24"/>
          <w:szCs w:val="24"/>
        </w:rPr>
      </w:pPr>
      <w:r w:rsidRPr="002C4B08">
        <w:rPr>
          <w:sz w:val="24"/>
          <w:szCs w:val="24"/>
        </w:rPr>
        <w:t xml:space="preserve">Vista’s superintendent and principals share how digital learning has impacted learning opportunities for their students. </w:t>
      </w:r>
      <w:hyperlink r:id="rId30">
        <w:r w:rsidRPr="002C4B08">
          <w:rPr>
            <w:color w:val="0563C1"/>
            <w:sz w:val="24"/>
            <w:szCs w:val="24"/>
            <w:u w:val="single"/>
          </w:rPr>
          <w:t>https://youtu.be/yTUNdeZIbzg</w:t>
        </w:r>
      </w:hyperlink>
    </w:p>
    <w:p w14:paraId="65094B89" w14:textId="77777777" w:rsidR="00A61126" w:rsidRPr="002C4B08" w:rsidRDefault="00A61126">
      <w:pPr>
        <w:spacing w:line="240" w:lineRule="auto"/>
        <w:ind w:left="-80"/>
        <w:rPr>
          <w:b/>
          <w:sz w:val="24"/>
          <w:szCs w:val="24"/>
        </w:rPr>
      </w:pPr>
    </w:p>
    <w:p w14:paraId="30A3A974" w14:textId="5E4BAB03" w:rsidR="00A61126" w:rsidRPr="002C4B08" w:rsidRDefault="00A61126">
      <w:pPr>
        <w:spacing w:line="240" w:lineRule="auto"/>
        <w:ind w:left="-80"/>
        <w:rPr>
          <w:b/>
          <w:sz w:val="24"/>
          <w:szCs w:val="24"/>
        </w:rPr>
      </w:pPr>
    </w:p>
    <w:p w14:paraId="11A88316" w14:textId="382DA9CE" w:rsidR="00A61126" w:rsidRDefault="00A61126">
      <w:pPr>
        <w:spacing w:line="240" w:lineRule="auto"/>
        <w:ind w:left="-80"/>
        <w:rPr>
          <w:b/>
          <w:sz w:val="24"/>
          <w:szCs w:val="24"/>
        </w:rPr>
      </w:pPr>
    </w:p>
    <w:p w14:paraId="4AD81296" w14:textId="4A525645" w:rsidR="006036D1" w:rsidRDefault="006036D1">
      <w:pPr>
        <w:spacing w:line="240" w:lineRule="auto"/>
        <w:ind w:left="-80"/>
        <w:rPr>
          <w:b/>
          <w:sz w:val="24"/>
          <w:szCs w:val="24"/>
        </w:rPr>
      </w:pPr>
    </w:p>
    <w:p w14:paraId="084437B6" w14:textId="468B8199" w:rsidR="006036D1" w:rsidRDefault="006036D1">
      <w:pPr>
        <w:spacing w:line="240" w:lineRule="auto"/>
        <w:ind w:left="-80"/>
        <w:rPr>
          <w:b/>
          <w:sz w:val="24"/>
          <w:szCs w:val="24"/>
        </w:rPr>
      </w:pPr>
    </w:p>
    <w:p w14:paraId="08B9A276" w14:textId="3C0FE7E3" w:rsidR="00685FC9" w:rsidRDefault="006036D1">
      <w:pPr>
        <w:spacing w:line="240" w:lineRule="auto"/>
        <w:ind w:left="-80"/>
        <w:rPr>
          <w:sz w:val="24"/>
          <w:szCs w:val="24"/>
        </w:rPr>
      </w:pPr>
      <w:r>
        <w:rPr>
          <w:noProof/>
          <w:sz w:val="24"/>
          <w:szCs w:val="24"/>
        </w:rPr>
        <w:drawing>
          <wp:anchor distT="0" distB="0" distL="114300" distR="114300" simplePos="0" relativeHeight="251673088" behindDoc="0" locked="0" layoutInCell="1" allowOverlap="1" wp14:anchorId="229F2AA3" wp14:editId="27724AFA">
            <wp:simplePos x="0" y="0"/>
            <wp:positionH relativeFrom="column">
              <wp:posOffset>-31750</wp:posOffset>
            </wp:positionH>
            <wp:positionV relativeFrom="paragraph">
              <wp:posOffset>173355</wp:posOffset>
            </wp:positionV>
            <wp:extent cx="1645920" cy="1645920"/>
            <wp:effectExtent l="0" t="0" r="0" b="0"/>
            <wp:wrapSquare wrapText="bothSides"/>
            <wp:docPr id="1" name="Video 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a:hlinkClick r:id="rId31"/>
                    </pic:cNvPr>
                    <pic:cNvPicPr/>
                  </pic:nvPicPr>
                  <pic:blipFill rotWithShape="1">
                    <a:blip r:embed="rId32">
                      <a:extLst>
                        <a:ext uri="{C809E66F-F1BF-436E-b5F7-EEA9579F0CBA}">
                          <wp15:webVideoPr xmlns:wp15="http://schemas.microsoft.com/office/word/2012/wordprocessingDrawing" embeddedHtml="&lt;iframe id=&quot;ytplayer&quot; src=&quot;https://www.youtube.com/embed/kdKP9Tj6Rpc&quot; frameborder=&quot;0&quot; type=&quot;text/html&quot; width=&quot;816&quot; height=&quot;480&quot; /&gt;" h="480" w="816"/>
                        </a:ext>
                      </a:extLst>
                    </a:blip>
                    <a:srcRect l="12500" r="12500"/>
                    <a:stretch/>
                  </pic:blipFill>
                  <pic:spPr bwMode="auto">
                    <a:xfrm>
                      <a:off x="0" y="0"/>
                      <a:ext cx="1645920"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63C855" w14:textId="77777777" w:rsidR="006036D1" w:rsidRDefault="006036D1">
      <w:pPr>
        <w:spacing w:line="240" w:lineRule="auto"/>
        <w:ind w:left="-80"/>
        <w:rPr>
          <w:sz w:val="24"/>
          <w:szCs w:val="24"/>
        </w:rPr>
      </w:pPr>
    </w:p>
    <w:p w14:paraId="69CBE27C" w14:textId="6DDCE5BA" w:rsidR="006036D1" w:rsidRPr="006036D1" w:rsidRDefault="006036D1" w:rsidP="005F1988">
      <w:pPr>
        <w:spacing w:line="240" w:lineRule="auto"/>
        <w:ind w:left="-80"/>
        <w:outlineLvl w:val="0"/>
        <w:rPr>
          <w:b/>
          <w:sz w:val="24"/>
          <w:szCs w:val="24"/>
        </w:rPr>
      </w:pPr>
      <w:r w:rsidRPr="006036D1">
        <w:rPr>
          <w:b/>
          <w:sz w:val="24"/>
          <w:szCs w:val="24"/>
        </w:rPr>
        <w:t>Preparing Globally Competitive Graduates- CUE 2015 Super Symposium</w:t>
      </w:r>
    </w:p>
    <w:p w14:paraId="549A3693" w14:textId="0AE66E12" w:rsidR="00685FC9" w:rsidRPr="002C4B08" w:rsidRDefault="006036D1">
      <w:pPr>
        <w:spacing w:line="240" w:lineRule="auto"/>
        <w:ind w:left="-80"/>
        <w:rPr>
          <w:sz w:val="24"/>
          <w:szCs w:val="24"/>
        </w:rPr>
      </w:pPr>
      <w:r w:rsidRPr="006036D1">
        <w:rPr>
          <w:sz w:val="24"/>
          <w:szCs w:val="24"/>
        </w:rPr>
        <w:t xml:space="preserve">S. Dallas Dance </w:t>
      </w:r>
      <w:proofErr w:type="spellStart"/>
      <w:proofErr w:type="gramStart"/>
      <w:r w:rsidRPr="006036D1">
        <w:rPr>
          <w:sz w:val="24"/>
          <w:szCs w:val="24"/>
        </w:rPr>
        <w:t>Ph.D</w:t>
      </w:r>
      <w:proofErr w:type="spellEnd"/>
      <w:proofErr w:type="gramEnd"/>
      <w:r w:rsidRPr="006036D1">
        <w:rPr>
          <w:sz w:val="24"/>
          <w:szCs w:val="24"/>
        </w:rPr>
        <w:t>, superintendent of Baltimore County Public School District, presents Preparing Globally Competitive Graduates, a part of BCPS’s Blueprint 2.0 plan of deliberate excellence. He also discusses how access to technology promotes equity and student engagement.</w:t>
      </w:r>
      <w:r>
        <w:rPr>
          <w:sz w:val="24"/>
          <w:szCs w:val="24"/>
        </w:rPr>
        <w:t xml:space="preserve"> </w:t>
      </w:r>
    </w:p>
    <w:bookmarkStart w:id="5" w:name="_GoBack"/>
    <w:p w14:paraId="256F3A37" w14:textId="646E4A60" w:rsidR="006036D1" w:rsidRDefault="009B1AF7">
      <w:pPr>
        <w:spacing w:line="240" w:lineRule="auto"/>
        <w:ind w:left="-80"/>
        <w:rPr>
          <w:sz w:val="24"/>
          <w:szCs w:val="24"/>
        </w:rPr>
      </w:pPr>
      <w:r>
        <w:rPr>
          <w:sz w:val="24"/>
          <w:szCs w:val="24"/>
        </w:rPr>
        <w:fldChar w:fldCharType="begin"/>
      </w:r>
      <w:r>
        <w:rPr>
          <w:sz w:val="24"/>
          <w:szCs w:val="24"/>
        </w:rPr>
        <w:instrText xml:space="preserve"> HYPERLINK "https://www.youtube.com/watch?v=NkVsto7uI2E&amp;feature=youtu.be" </w:instrText>
      </w:r>
      <w:r>
        <w:rPr>
          <w:sz w:val="24"/>
          <w:szCs w:val="24"/>
        </w:rPr>
      </w:r>
      <w:r>
        <w:rPr>
          <w:sz w:val="24"/>
          <w:szCs w:val="24"/>
        </w:rPr>
        <w:fldChar w:fldCharType="separate"/>
      </w:r>
      <w:r w:rsidRPr="009B1AF7">
        <w:rPr>
          <w:rStyle w:val="Hyperlink"/>
          <w:sz w:val="24"/>
          <w:szCs w:val="24"/>
        </w:rPr>
        <w:t>https://www.youtube.com/watch?v=NkVsto7uI2E&amp;feature=youtu.be</w:t>
      </w:r>
      <w:r>
        <w:rPr>
          <w:sz w:val="24"/>
          <w:szCs w:val="24"/>
        </w:rPr>
        <w:fldChar w:fldCharType="end"/>
      </w:r>
    </w:p>
    <w:bookmarkEnd w:id="5"/>
    <w:p w14:paraId="33FF4A4B" w14:textId="66466FD9" w:rsidR="006036D1" w:rsidRDefault="006036D1">
      <w:pPr>
        <w:spacing w:line="240" w:lineRule="auto"/>
        <w:ind w:left="-80"/>
        <w:rPr>
          <w:sz w:val="24"/>
          <w:szCs w:val="24"/>
        </w:rPr>
      </w:pPr>
    </w:p>
    <w:p w14:paraId="373DD184" w14:textId="5BB74791" w:rsidR="006036D1" w:rsidRDefault="006036D1">
      <w:pPr>
        <w:spacing w:line="240" w:lineRule="auto"/>
        <w:ind w:left="-80"/>
        <w:rPr>
          <w:sz w:val="24"/>
          <w:szCs w:val="24"/>
        </w:rPr>
      </w:pPr>
    </w:p>
    <w:p w14:paraId="2141735F" w14:textId="265F719E" w:rsidR="006036D1" w:rsidRDefault="006036D1">
      <w:pPr>
        <w:spacing w:line="240" w:lineRule="auto"/>
        <w:ind w:left="-80"/>
        <w:rPr>
          <w:sz w:val="24"/>
          <w:szCs w:val="24"/>
        </w:rPr>
      </w:pPr>
    </w:p>
    <w:p w14:paraId="39263321" w14:textId="4534C237" w:rsidR="002C4B08" w:rsidRPr="005F1988" w:rsidRDefault="00685FC9" w:rsidP="005F1988">
      <w:pPr>
        <w:spacing w:line="240" w:lineRule="auto"/>
        <w:ind w:left="-80"/>
        <w:outlineLvl w:val="0"/>
        <w:rPr>
          <w:b/>
          <w:color w:val="00A79D"/>
          <w:sz w:val="24"/>
          <w:szCs w:val="24"/>
        </w:rPr>
      </w:pPr>
      <w:r w:rsidRPr="005F1988">
        <w:rPr>
          <w:b/>
          <w:color w:val="00A79D"/>
          <w:sz w:val="24"/>
          <w:szCs w:val="24"/>
        </w:rPr>
        <w:lastRenderedPageBreak/>
        <w:t xml:space="preserve">COMMUNICATION PACKET </w:t>
      </w:r>
    </w:p>
    <w:p w14:paraId="098452AE" w14:textId="1F992087" w:rsidR="002C4B08" w:rsidRDefault="00685FC9" w:rsidP="002C4B08">
      <w:pPr>
        <w:spacing w:line="240" w:lineRule="auto"/>
        <w:ind w:left="-80"/>
        <w:rPr>
          <w:sz w:val="24"/>
          <w:szCs w:val="24"/>
        </w:rPr>
      </w:pPr>
      <w:r w:rsidRPr="00F770C5">
        <w:rPr>
          <w:color w:val="auto"/>
          <w:sz w:val="24"/>
          <w:szCs w:val="24"/>
        </w:rPr>
        <w:t xml:space="preserve">The </w:t>
      </w:r>
      <w:hyperlink r:id="rId33">
        <w:r w:rsidRPr="00F770C5">
          <w:rPr>
            <w:color w:val="auto"/>
            <w:sz w:val="24"/>
            <w:szCs w:val="24"/>
          </w:rPr>
          <w:t>communication packet</w:t>
        </w:r>
      </w:hyperlink>
      <w:r w:rsidRPr="00F770C5">
        <w:rPr>
          <w:color w:val="auto"/>
          <w:sz w:val="24"/>
          <w:szCs w:val="24"/>
        </w:rPr>
        <w:t xml:space="preserve"> includes customizable templates. Partners can add logos, </w:t>
      </w:r>
      <w:r w:rsidRPr="002C4B08">
        <w:rPr>
          <w:sz w:val="24"/>
          <w:szCs w:val="24"/>
        </w:rPr>
        <w:t xml:space="preserve">examples or other resources to help engage stakeholders and support this topic. Users are encouraged to leverage these resources to support your work in engaging </w:t>
      </w:r>
      <w:r w:rsidR="00892CE4">
        <w:rPr>
          <w:sz w:val="24"/>
          <w:szCs w:val="24"/>
        </w:rPr>
        <w:t>superintendents</w:t>
      </w:r>
      <w:r w:rsidRPr="002C4B08">
        <w:rPr>
          <w:sz w:val="24"/>
          <w:szCs w:val="24"/>
        </w:rPr>
        <w:t xml:space="preserve"> by providing them with the resources needed to create an ecosystem of support and learning inside and outside of school walls.</w:t>
      </w:r>
    </w:p>
    <w:p w14:paraId="3464A0F2" w14:textId="77777777" w:rsidR="002C4B08" w:rsidRPr="002C4B08" w:rsidRDefault="00685FC9" w:rsidP="002C4B08">
      <w:pPr>
        <w:pStyle w:val="ListParagraph"/>
        <w:numPr>
          <w:ilvl w:val="0"/>
          <w:numId w:val="12"/>
        </w:numPr>
        <w:spacing w:line="240" w:lineRule="auto"/>
        <w:rPr>
          <w:sz w:val="24"/>
          <w:szCs w:val="24"/>
        </w:rPr>
      </w:pPr>
      <w:r w:rsidRPr="002C4B08">
        <w:rPr>
          <w:sz w:val="24"/>
          <w:szCs w:val="24"/>
        </w:rPr>
        <w:t>Newsletter/website snapshot</w:t>
      </w:r>
    </w:p>
    <w:p w14:paraId="137F458C" w14:textId="77777777" w:rsidR="002C4B08" w:rsidRPr="002C4B08" w:rsidRDefault="00685FC9" w:rsidP="002C4B08">
      <w:pPr>
        <w:pStyle w:val="ListParagraph"/>
        <w:numPr>
          <w:ilvl w:val="0"/>
          <w:numId w:val="12"/>
        </w:numPr>
        <w:spacing w:line="240" w:lineRule="auto"/>
        <w:rPr>
          <w:sz w:val="24"/>
          <w:szCs w:val="24"/>
        </w:rPr>
      </w:pPr>
      <w:r w:rsidRPr="002C4B08">
        <w:rPr>
          <w:sz w:val="24"/>
          <w:szCs w:val="24"/>
        </w:rPr>
        <w:t>Presentation slides to support conversations with stakeholders</w:t>
      </w:r>
    </w:p>
    <w:p w14:paraId="149BD957" w14:textId="77777777" w:rsidR="002C4B08" w:rsidRPr="002C4B08" w:rsidRDefault="00685FC9" w:rsidP="002C4B08">
      <w:pPr>
        <w:pStyle w:val="ListParagraph"/>
        <w:numPr>
          <w:ilvl w:val="0"/>
          <w:numId w:val="12"/>
        </w:numPr>
        <w:spacing w:line="240" w:lineRule="auto"/>
        <w:rPr>
          <w:sz w:val="24"/>
          <w:szCs w:val="24"/>
        </w:rPr>
      </w:pPr>
      <w:r w:rsidRPr="002C4B08">
        <w:rPr>
          <w:sz w:val="24"/>
          <w:szCs w:val="24"/>
        </w:rPr>
        <w:t>Social media promotion examples</w:t>
      </w:r>
    </w:p>
    <w:p w14:paraId="39ED8B0A" w14:textId="77777777" w:rsidR="002C4B08" w:rsidRPr="002C4B08" w:rsidRDefault="00685FC9" w:rsidP="002C4B08">
      <w:pPr>
        <w:pStyle w:val="ListParagraph"/>
        <w:numPr>
          <w:ilvl w:val="0"/>
          <w:numId w:val="12"/>
        </w:numPr>
        <w:spacing w:line="240" w:lineRule="auto"/>
        <w:rPr>
          <w:sz w:val="24"/>
          <w:szCs w:val="24"/>
        </w:rPr>
      </w:pPr>
      <w:r w:rsidRPr="002C4B08">
        <w:rPr>
          <w:sz w:val="24"/>
          <w:szCs w:val="24"/>
        </w:rPr>
        <w:t>Press outreach</w:t>
      </w:r>
    </w:p>
    <w:p w14:paraId="68FBCD75" w14:textId="77777777" w:rsidR="00685FC9" w:rsidRPr="002C4B08" w:rsidRDefault="00685FC9" w:rsidP="002C4B08">
      <w:pPr>
        <w:pStyle w:val="ListParagraph"/>
        <w:numPr>
          <w:ilvl w:val="0"/>
          <w:numId w:val="12"/>
        </w:numPr>
        <w:spacing w:line="240" w:lineRule="auto"/>
        <w:rPr>
          <w:b/>
          <w:sz w:val="24"/>
          <w:szCs w:val="24"/>
        </w:rPr>
      </w:pPr>
      <w:r w:rsidRPr="002C4B08">
        <w:rPr>
          <w:sz w:val="24"/>
          <w:szCs w:val="24"/>
        </w:rPr>
        <w:t>Outreach email</w:t>
      </w:r>
    </w:p>
    <w:sectPr w:rsidR="00685FC9" w:rsidRPr="002C4B08">
      <w:footerReference w:type="default" r:id="rId3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CF3B" w14:textId="77777777" w:rsidR="004D4303" w:rsidRDefault="004D4303">
      <w:pPr>
        <w:spacing w:line="240" w:lineRule="auto"/>
      </w:pPr>
      <w:r>
        <w:separator/>
      </w:r>
    </w:p>
  </w:endnote>
  <w:endnote w:type="continuationSeparator" w:id="0">
    <w:p w14:paraId="10513AD8" w14:textId="77777777" w:rsidR="004D4303" w:rsidRDefault="004D4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879C" w14:textId="36841184" w:rsidR="002864EB" w:rsidRDefault="002864EB">
    <w:pPr>
      <w:tabs>
        <w:tab w:val="center" w:pos="4680"/>
        <w:tab w:val="right" w:pos="9360"/>
      </w:tabs>
      <w:spacing w:line="240" w:lineRule="auto"/>
      <w:jc w:val="right"/>
    </w:pPr>
    <w:r>
      <w:fldChar w:fldCharType="begin"/>
    </w:r>
    <w:r>
      <w:instrText>PAGE</w:instrText>
    </w:r>
    <w:r>
      <w:fldChar w:fldCharType="separate"/>
    </w:r>
    <w:r w:rsidR="00FE1B6F">
      <w:rPr>
        <w:noProof/>
      </w:rPr>
      <w:t>4</w:t>
    </w:r>
    <w:r>
      <w:fldChar w:fldCharType="end"/>
    </w:r>
  </w:p>
  <w:p w14:paraId="333F2F42" w14:textId="77777777" w:rsidR="002864EB" w:rsidRDefault="002864EB">
    <w:pPr>
      <w:tabs>
        <w:tab w:val="center" w:pos="4680"/>
        <w:tab w:val="right" w:pos="9360"/>
      </w:tabs>
      <w:spacing w:after="864"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F0A06" w14:textId="77777777" w:rsidR="004D4303" w:rsidRDefault="004D4303">
      <w:pPr>
        <w:spacing w:line="240" w:lineRule="auto"/>
      </w:pPr>
      <w:r>
        <w:separator/>
      </w:r>
    </w:p>
  </w:footnote>
  <w:footnote w:type="continuationSeparator" w:id="0">
    <w:p w14:paraId="1534BD8A" w14:textId="77777777" w:rsidR="004D4303" w:rsidRDefault="004D430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3F6C"/>
    <w:multiLevelType w:val="multilevel"/>
    <w:tmpl w:val="B0B8F1D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189A0B8B"/>
    <w:multiLevelType w:val="multilevel"/>
    <w:tmpl w:val="F2E277D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EF60BDF"/>
    <w:multiLevelType w:val="multilevel"/>
    <w:tmpl w:val="24A41DB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nsid w:val="1F151695"/>
    <w:multiLevelType w:val="multilevel"/>
    <w:tmpl w:val="32AA32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7424A26"/>
    <w:multiLevelType w:val="hybridMultilevel"/>
    <w:tmpl w:val="A0AA2476"/>
    <w:lvl w:ilvl="0" w:tplc="E29C0FA6">
      <w:start w:val="201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42258"/>
    <w:multiLevelType w:val="hybridMultilevel"/>
    <w:tmpl w:val="8236C328"/>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6">
    <w:nsid w:val="445368E3"/>
    <w:multiLevelType w:val="multilevel"/>
    <w:tmpl w:val="0E2AA85C"/>
    <w:lvl w:ilvl="0">
      <w:start w:val="1"/>
      <w:numFmt w:val="bullet"/>
      <w:lvlText w:val="●"/>
      <w:lvlJc w:val="left"/>
      <w:pPr>
        <w:ind w:left="640" w:firstLine="280"/>
      </w:pPr>
      <w:rPr>
        <w:rFonts w:ascii="Arial" w:eastAsia="Arial" w:hAnsi="Arial" w:cs="Arial"/>
      </w:rPr>
    </w:lvl>
    <w:lvl w:ilvl="1">
      <w:start w:val="1"/>
      <w:numFmt w:val="bullet"/>
      <w:lvlText w:val="o"/>
      <w:lvlJc w:val="left"/>
      <w:pPr>
        <w:ind w:left="1360" w:firstLine="1000"/>
      </w:pPr>
      <w:rPr>
        <w:rFonts w:ascii="Arial" w:eastAsia="Arial" w:hAnsi="Arial" w:cs="Arial"/>
      </w:rPr>
    </w:lvl>
    <w:lvl w:ilvl="2">
      <w:start w:val="1"/>
      <w:numFmt w:val="bullet"/>
      <w:lvlText w:val="▪"/>
      <w:lvlJc w:val="left"/>
      <w:pPr>
        <w:ind w:left="2080" w:firstLine="1720"/>
      </w:pPr>
      <w:rPr>
        <w:rFonts w:ascii="Arial" w:eastAsia="Arial" w:hAnsi="Arial" w:cs="Arial"/>
      </w:rPr>
    </w:lvl>
    <w:lvl w:ilvl="3">
      <w:start w:val="1"/>
      <w:numFmt w:val="bullet"/>
      <w:lvlText w:val="●"/>
      <w:lvlJc w:val="left"/>
      <w:pPr>
        <w:ind w:left="2800" w:firstLine="2440"/>
      </w:pPr>
      <w:rPr>
        <w:rFonts w:ascii="Arial" w:eastAsia="Arial" w:hAnsi="Arial" w:cs="Arial"/>
      </w:rPr>
    </w:lvl>
    <w:lvl w:ilvl="4">
      <w:start w:val="1"/>
      <w:numFmt w:val="bullet"/>
      <w:lvlText w:val="o"/>
      <w:lvlJc w:val="left"/>
      <w:pPr>
        <w:ind w:left="3520" w:firstLine="3160"/>
      </w:pPr>
      <w:rPr>
        <w:rFonts w:ascii="Arial" w:eastAsia="Arial" w:hAnsi="Arial" w:cs="Arial"/>
      </w:rPr>
    </w:lvl>
    <w:lvl w:ilvl="5">
      <w:start w:val="1"/>
      <w:numFmt w:val="bullet"/>
      <w:lvlText w:val="▪"/>
      <w:lvlJc w:val="left"/>
      <w:pPr>
        <w:ind w:left="4240" w:firstLine="3880"/>
      </w:pPr>
      <w:rPr>
        <w:rFonts w:ascii="Arial" w:eastAsia="Arial" w:hAnsi="Arial" w:cs="Arial"/>
      </w:rPr>
    </w:lvl>
    <w:lvl w:ilvl="6">
      <w:start w:val="1"/>
      <w:numFmt w:val="bullet"/>
      <w:lvlText w:val="●"/>
      <w:lvlJc w:val="left"/>
      <w:pPr>
        <w:ind w:left="4960" w:firstLine="4600"/>
      </w:pPr>
      <w:rPr>
        <w:rFonts w:ascii="Arial" w:eastAsia="Arial" w:hAnsi="Arial" w:cs="Arial"/>
      </w:rPr>
    </w:lvl>
    <w:lvl w:ilvl="7">
      <w:start w:val="1"/>
      <w:numFmt w:val="bullet"/>
      <w:lvlText w:val="o"/>
      <w:lvlJc w:val="left"/>
      <w:pPr>
        <w:ind w:left="5680" w:firstLine="5320"/>
      </w:pPr>
      <w:rPr>
        <w:rFonts w:ascii="Arial" w:eastAsia="Arial" w:hAnsi="Arial" w:cs="Arial"/>
      </w:rPr>
    </w:lvl>
    <w:lvl w:ilvl="8">
      <w:start w:val="1"/>
      <w:numFmt w:val="bullet"/>
      <w:lvlText w:val="▪"/>
      <w:lvlJc w:val="left"/>
      <w:pPr>
        <w:ind w:left="6400" w:firstLine="6040"/>
      </w:pPr>
      <w:rPr>
        <w:rFonts w:ascii="Arial" w:eastAsia="Arial" w:hAnsi="Arial" w:cs="Arial"/>
      </w:rPr>
    </w:lvl>
  </w:abstractNum>
  <w:abstractNum w:abstractNumId="7">
    <w:nsid w:val="4E3C0A56"/>
    <w:multiLevelType w:val="multilevel"/>
    <w:tmpl w:val="3A901514"/>
    <w:lvl w:ilvl="0">
      <w:start w:val="1"/>
      <w:numFmt w:val="bullet"/>
      <w:lvlText w:val="●"/>
      <w:lvlJc w:val="left"/>
      <w:pPr>
        <w:ind w:left="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1440" w:firstLine="6120"/>
      </w:pPr>
      <w:rPr>
        <w:rFonts w:ascii="Arial" w:eastAsia="Arial" w:hAnsi="Arial" w:cs="Arial"/>
        <w:u w:val="none"/>
      </w:rPr>
    </w:lvl>
    <w:lvl w:ilvl="3">
      <w:start w:val="1"/>
      <w:numFmt w:val="bullet"/>
      <w:lvlText w:val="●"/>
      <w:lvlJc w:val="left"/>
      <w:pPr>
        <w:ind w:left="2160" w:firstLine="8280"/>
      </w:pPr>
      <w:rPr>
        <w:rFonts w:ascii="Arial" w:eastAsia="Arial" w:hAnsi="Arial" w:cs="Arial"/>
        <w:u w:val="none"/>
      </w:rPr>
    </w:lvl>
    <w:lvl w:ilvl="4">
      <w:start w:val="1"/>
      <w:numFmt w:val="bullet"/>
      <w:lvlText w:val="○"/>
      <w:lvlJc w:val="left"/>
      <w:pPr>
        <w:ind w:left="2880" w:firstLine="10440"/>
      </w:pPr>
      <w:rPr>
        <w:rFonts w:ascii="Arial" w:eastAsia="Arial" w:hAnsi="Arial" w:cs="Arial"/>
        <w:u w:val="none"/>
      </w:rPr>
    </w:lvl>
    <w:lvl w:ilvl="5">
      <w:start w:val="1"/>
      <w:numFmt w:val="bullet"/>
      <w:lvlText w:val="■"/>
      <w:lvlJc w:val="left"/>
      <w:pPr>
        <w:ind w:left="3600" w:firstLine="12600"/>
      </w:pPr>
      <w:rPr>
        <w:rFonts w:ascii="Arial" w:eastAsia="Arial" w:hAnsi="Arial" w:cs="Arial"/>
        <w:u w:val="none"/>
      </w:rPr>
    </w:lvl>
    <w:lvl w:ilvl="6">
      <w:start w:val="1"/>
      <w:numFmt w:val="bullet"/>
      <w:lvlText w:val="●"/>
      <w:lvlJc w:val="left"/>
      <w:pPr>
        <w:ind w:left="4320" w:firstLine="14760"/>
      </w:pPr>
      <w:rPr>
        <w:rFonts w:ascii="Arial" w:eastAsia="Arial" w:hAnsi="Arial" w:cs="Arial"/>
        <w:u w:val="none"/>
      </w:rPr>
    </w:lvl>
    <w:lvl w:ilvl="7">
      <w:start w:val="1"/>
      <w:numFmt w:val="bullet"/>
      <w:lvlText w:val="○"/>
      <w:lvlJc w:val="left"/>
      <w:pPr>
        <w:ind w:left="5040" w:firstLine="16920"/>
      </w:pPr>
      <w:rPr>
        <w:rFonts w:ascii="Arial" w:eastAsia="Arial" w:hAnsi="Arial" w:cs="Arial"/>
        <w:u w:val="none"/>
      </w:rPr>
    </w:lvl>
    <w:lvl w:ilvl="8">
      <w:start w:val="1"/>
      <w:numFmt w:val="bullet"/>
      <w:lvlText w:val="■"/>
      <w:lvlJc w:val="left"/>
      <w:pPr>
        <w:ind w:left="5760" w:firstLine="19080"/>
      </w:pPr>
      <w:rPr>
        <w:rFonts w:ascii="Arial" w:eastAsia="Arial" w:hAnsi="Arial" w:cs="Arial"/>
        <w:u w:val="none"/>
      </w:rPr>
    </w:lvl>
  </w:abstractNum>
  <w:abstractNum w:abstractNumId="8">
    <w:nsid w:val="4EC76E25"/>
    <w:multiLevelType w:val="hybridMultilevel"/>
    <w:tmpl w:val="7F5A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524CF4"/>
    <w:multiLevelType w:val="hybridMultilevel"/>
    <w:tmpl w:val="08D8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A66157"/>
    <w:multiLevelType w:val="multilevel"/>
    <w:tmpl w:val="2C841EC0"/>
    <w:lvl w:ilvl="0">
      <w:start w:val="1"/>
      <w:numFmt w:val="bullet"/>
      <w:lvlText w:val="●"/>
      <w:lvlJc w:val="left"/>
      <w:pPr>
        <w:ind w:left="640" w:firstLine="280"/>
      </w:pPr>
      <w:rPr>
        <w:rFonts w:ascii="Arial" w:eastAsia="Arial" w:hAnsi="Arial" w:cs="Arial"/>
      </w:rPr>
    </w:lvl>
    <w:lvl w:ilvl="1">
      <w:start w:val="1"/>
      <w:numFmt w:val="bullet"/>
      <w:lvlText w:val="o"/>
      <w:lvlJc w:val="left"/>
      <w:pPr>
        <w:ind w:left="1360" w:firstLine="1000"/>
      </w:pPr>
      <w:rPr>
        <w:rFonts w:ascii="Arial" w:eastAsia="Arial" w:hAnsi="Arial" w:cs="Arial"/>
      </w:rPr>
    </w:lvl>
    <w:lvl w:ilvl="2">
      <w:start w:val="1"/>
      <w:numFmt w:val="bullet"/>
      <w:lvlText w:val="▪"/>
      <w:lvlJc w:val="left"/>
      <w:pPr>
        <w:ind w:left="2080" w:firstLine="1720"/>
      </w:pPr>
      <w:rPr>
        <w:rFonts w:ascii="Arial" w:eastAsia="Arial" w:hAnsi="Arial" w:cs="Arial"/>
      </w:rPr>
    </w:lvl>
    <w:lvl w:ilvl="3">
      <w:start w:val="1"/>
      <w:numFmt w:val="bullet"/>
      <w:lvlText w:val="●"/>
      <w:lvlJc w:val="left"/>
      <w:pPr>
        <w:ind w:left="2800" w:firstLine="2440"/>
      </w:pPr>
      <w:rPr>
        <w:rFonts w:ascii="Arial" w:eastAsia="Arial" w:hAnsi="Arial" w:cs="Arial"/>
      </w:rPr>
    </w:lvl>
    <w:lvl w:ilvl="4">
      <w:start w:val="1"/>
      <w:numFmt w:val="bullet"/>
      <w:lvlText w:val="o"/>
      <w:lvlJc w:val="left"/>
      <w:pPr>
        <w:ind w:left="3520" w:firstLine="3160"/>
      </w:pPr>
      <w:rPr>
        <w:rFonts w:ascii="Arial" w:eastAsia="Arial" w:hAnsi="Arial" w:cs="Arial"/>
      </w:rPr>
    </w:lvl>
    <w:lvl w:ilvl="5">
      <w:start w:val="1"/>
      <w:numFmt w:val="bullet"/>
      <w:lvlText w:val="▪"/>
      <w:lvlJc w:val="left"/>
      <w:pPr>
        <w:ind w:left="4240" w:firstLine="3880"/>
      </w:pPr>
      <w:rPr>
        <w:rFonts w:ascii="Arial" w:eastAsia="Arial" w:hAnsi="Arial" w:cs="Arial"/>
      </w:rPr>
    </w:lvl>
    <w:lvl w:ilvl="6">
      <w:start w:val="1"/>
      <w:numFmt w:val="bullet"/>
      <w:lvlText w:val="●"/>
      <w:lvlJc w:val="left"/>
      <w:pPr>
        <w:ind w:left="4960" w:firstLine="4600"/>
      </w:pPr>
      <w:rPr>
        <w:rFonts w:ascii="Arial" w:eastAsia="Arial" w:hAnsi="Arial" w:cs="Arial"/>
      </w:rPr>
    </w:lvl>
    <w:lvl w:ilvl="7">
      <w:start w:val="1"/>
      <w:numFmt w:val="bullet"/>
      <w:lvlText w:val="o"/>
      <w:lvlJc w:val="left"/>
      <w:pPr>
        <w:ind w:left="5680" w:firstLine="5320"/>
      </w:pPr>
      <w:rPr>
        <w:rFonts w:ascii="Arial" w:eastAsia="Arial" w:hAnsi="Arial" w:cs="Arial"/>
      </w:rPr>
    </w:lvl>
    <w:lvl w:ilvl="8">
      <w:start w:val="1"/>
      <w:numFmt w:val="bullet"/>
      <w:lvlText w:val="▪"/>
      <w:lvlJc w:val="left"/>
      <w:pPr>
        <w:ind w:left="6400" w:firstLine="6040"/>
      </w:pPr>
      <w:rPr>
        <w:rFonts w:ascii="Arial" w:eastAsia="Arial" w:hAnsi="Arial" w:cs="Arial"/>
      </w:rPr>
    </w:lvl>
  </w:abstractNum>
  <w:abstractNum w:abstractNumId="11">
    <w:nsid w:val="75C26AD4"/>
    <w:multiLevelType w:val="multilevel"/>
    <w:tmpl w:val="33D4D1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7FB769F8"/>
    <w:multiLevelType w:val="hybridMultilevel"/>
    <w:tmpl w:val="1F8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3"/>
  </w:num>
  <w:num w:numId="5">
    <w:abstractNumId w:val="0"/>
  </w:num>
  <w:num w:numId="6">
    <w:abstractNumId w:val="2"/>
  </w:num>
  <w:num w:numId="7">
    <w:abstractNumId w:val="4"/>
  </w:num>
  <w:num w:numId="8">
    <w:abstractNumId w:val="12"/>
  </w:num>
  <w:num w:numId="9">
    <w:abstractNumId w:val="7"/>
  </w:num>
  <w:num w:numId="10">
    <w:abstractNumId w:val="9"/>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26"/>
    <w:rsid w:val="00063716"/>
    <w:rsid w:val="00091CF5"/>
    <w:rsid w:val="00167627"/>
    <w:rsid w:val="00195566"/>
    <w:rsid w:val="001D7BBD"/>
    <w:rsid w:val="001F081A"/>
    <w:rsid w:val="002218CA"/>
    <w:rsid w:val="00241C04"/>
    <w:rsid w:val="002864EB"/>
    <w:rsid w:val="002C4B08"/>
    <w:rsid w:val="003B32BD"/>
    <w:rsid w:val="004A594B"/>
    <w:rsid w:val="004D4303"/>
    <w:rsid w:val="004F2A64"/>
    <w:rsid w:val="0057420E"/>
    <w:rsid w:val="005A093E"/>
    <w:rsid w:val="005F1988"/>
    <w:rsid w:val="006036D1"/>
    <w:rsid w:val="00685FC9"/>
    <w:rsid w:val="00753C3C"/>
    <w:rsid w:val="00762BC7"/>
    <w:rsid w:val="00837493"/>
    <w:rsid w:val="00842F81"/>
    <w:rsid w:val="00892CE4"/>
    <w:rsid w:val="009B1AF7"/>
    <w:rsid w:val="00A61126"/>
    <w:rsid w:val="00A72AEC"/>
    <w:rsid w:val="00B06A11"/>
    <w:rsid w:val="00D73010"/>
    <w:rsid w:val="00EF5E77"/>
    <w:rsid w:val="00F770C5"/>
    <w:rsid w:val="00FE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6168D"/>
  <w15:docId w15:val="{2FBE7ADE-A614-449B-A836-C0EA909A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59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94B"/>
    <w:rPr>
      <w:rFonts w:ascii="Segoe UI" w:hAnsi="Segoe UI" w:cs="Segoe UI"/>
      <w:sz w:val="18"/>
      <w:szCs w:val="18"/>
    </w:rPr>
  </w:style>
  <w:style w:type="character" w:styleId="Hyperlink">
    <w:name w:val="Hyperlink"/>
    <w:basedOn w:val="DefaultParagraphFont"/>
    <w:uiPriority w:val="99"/>
    <w:unhideWhenUsed/>
    <w:rsid w:val="004A594B"/>
    <w:rPr>
      <w:color w:val="0563C1" w:themeColor="hyperlink"/>
      <w:u w:val="single"/>
    </w:rPr>
  </w:style>
  <w:style w:type="character" w:customStyle="1" w:styleId="UnresolvedMention1">
    <w:name w:val="Unresolved Mention1"/>
    <w:basedOn w:val="DefaultParagraphFont"/>
    <w:uiPriority w:val="99"/>
    <w:semiHidden/>
    <w:unhideWhenUsed/>
    <w:rsid w:val="004A594B"/>
    <w:rPr>
      <w:color w:val="808080"/>
      <w:shd w:val="clear" w:color="auto" w:fill="E6E6E6"/>
    </w:rPr>
  </w:style>
  <w:style w:type="paragraph" w:styleId="ListParagraph">
    <w:name w:val="List Paragraph"/>
    <w:basedOn w:val="Normal"/>
    <w:uiPriority w:val="34"/>
    <w:qFormat/>
    <w:rsid w:val="00685FC9"/>
    <w:pPr>
      <w:ind w:left="720"/>
      <w:contextualSpacing/>
    </w:pPr>
  </w:style>
  <w:style w:type="paragraph" w:styleId="Header">
    <w:name w:val="header"/>
    <w:basedOn w:val="Normal"/>
    <w:link w:val="HeaderChar"/>
    <w:uiPriority w:val="99"/>
    <w:unhideWhenUsed/>
    <w:rsid w:val="00837493"/>
    <w:pPr>
      <w:tabs>
        <w:tab w:val="center" w:pos="4680"/>
        <w:tab w:val="right" w:pos="9360"/>
      </w:tabs>
      <w:spacing w:line="240" w:lineRule="auto"/>
    </w:pPr>
  </w:style>
  <w:style w:type="character" w:customStyle="1" w:styleId="HeaderChar">
    <w:name w:val="Header Char"/>
    <w:basedOn w:val="DefaultParagraphFont"/>
    <w:link w:val="Header"/>
    <w:uiPriority w:val="99"/>
    <w:rsid w:val="00837493"/>
  </w:style>
  <w:style w:type="paragraph" w:styleId="Footer">
    <w:name w:val="footer"/>
    <w:basedOn w:val="Normal"/>
    <w:link w:val="FooterChar"/>
    <w:uiPriority w:val="99"/>
    <w:unhideWhenUsed/>
    <w:rsid w:val="00837493"/>
    <w:pPr>
      <w:tabs>
        <w:tab w:val="center" w:pos="4680"/>
        <w:tab w:val="right" w:pos="9360"/>
      </w:tabs>
      <w:spacing w:line="240" w:lineRule="auto"/>
    </w:pPr>
  </w:style>
  <w:style w:type="character" w:customStyle="1" w:styleId="FooterChar">
    <w:name w:val="Footer Char"/>
    <w:basedOn w:val="DefaultParagraphFont"/>
    <w:link w:val="Footer"/>
    <w:uiPriority w:val="99"/>
    <w:rsid w:val="00837493"/>
  </w:style>
  <w:style w:type="character" w:styleId="FollowedHyperlink">
    <w:name w:val="FollowedHyperlink"/>
    <w:basedOn w:val="DefaultParagraphFont"/>
    <w:uiPriority w:val="99"/>
    <w:semiHidden/>
    <w:unhideWhenUsed/>
    <w:rsid w:val="002864EB"/>
    <w:rPr>
      <w:color w:val="954F72" w:themeColor="followedHyperlink"/>
      <w:u w:val="single"/>
    </w:rPr>
  </w:style>
  <w:style w:type="paragraph" w:styleId="DocumentMap">
    <w:name w:val="Document Map"/>
    <w:basedOn w:val="Normal"/>
    <w:link w:val="DocumentMapChar"/>
    <w:uiPriority w:val="99"/>
    <w:semiHidden/>
    <w:unhideWhenUsed/>
    <w:rsid w:val="005F1988"/>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F19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hyperlink" Target="http://www.cosn.org/SmartIT" TargetMode="External"/><Relationship Id="rId22" Type="http://schemas.openxmlformats.org/officeDocument/2006/relationships/hyperlink" Target="http://njdigitallearning.org/wp-content/uploads/2015/04/Transformative-Budgeting-final.pdf" TargetMode="External"/><Relationship Id="rId23" Type="http://schemas.openxmlformats.org/officeDocument/2006/relationships/image" Target="media/image5.png"/><Relationship Id="rId24" Type="http://schemas.openxmlformats.org/officeDocument/2006/relationships/hyperlink" Target="https://www.fcc.gov/general/lifeline-program-low-income-consumers" TargetMode="External"/><Relationship Id="rId25" Type="http://schemas.openxmlformats.org/officeDocument/2006/relationships/hyperlink" Target="http://www.cosn.org/infrastructure2016" TargetMode="External"/><Relationship Id="rId26" Type="http://schemas.openxmlformats.org/officeDocument/2006/relationships/hyperlink" Target="https://www.fcc.gov/general/lifeline-program-low-income-consumers" TargetMode="External"/><Relationship Id="rId27" Type="http://schemas.openxmlformats.org/officeDocument/2006/relationships/hyperlink" Target="https://www.ed.gov/family-and-community-engagement/bulletin-board/promoting-equity-through-family-school-partnerships" TargetMode="External"/><Relationship Id="rId28" Type="http://schemas.openxmlformats.org/officeDocument/2006/relationships/hyperlink" Target="http://www.setda.org/wp-content/uploads/2016/04/Broadband_2016.4.11.16_updated.pdf" TargetMode="External"/><Relationship Id="rId29" Type="http://schemas.openxmlformats.org/officeDocument/2006/relationships/image" Target="media/image6.jp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youtu.be/yTUNdeZIbzg" TargetMode="External"/><Relationship Id="rId31" Type="http://schemas.openxmlformats.org/officeDocument/2006/relationships/hyperlink" Target="https://www.youtube.com/watch?v=kdKP9Tj6Rpc" TargetMode="External"/><Relationship Id="rId32" Type="http://schemas.openxmlformats.org/officeDocument/2006/relationships/image" Target="media/image7.jpg"/><Relationship Id="rId9" Type="http://schemas.openxmlformats.org/officeDocument/2006/relationships/hyperlink" Target="https://www2.ed.gov/policy/elsec/leg/essa/essassaegrantguid10212016.pdf"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d.gov/essa" TargetMode="External"/><Relationship Id="rId33" Type="http://schemas.openxmlformats.org/officeDocument/2006/relationships/hyperlink" Target="https://docs.google.com/document/d/1besaASQcRf-bdgmlvHLy5ZMBySAwnvn_5O20nCuUSGw/edit" TargetMode="Externa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tech.ed.gov/files/2017/01/NETP17.pdf"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cdn-files.nsba.org/s3fs-public/On-the-Same-Page-Effective-Implementation-of-College-and-Career-ready-Standards-Through-Labor-Mana.pdf" TargetMode="External"/><Relationship Id="rId14" Type="http://schemas.openxmlformats.org/officeDocument/2006/relationships/hyperlink" Target="http://www.aasa.org/DigitalConsortium.aspx" TargetMode="External"/><Relationship Id="rId15" Type="http://schemas.openxmlformats.org/officeDocument/2006/relationships/hyperlink" Target="https://tech.ed.gov/files/2017/01/NETP17.pdf" TargetMode="External"/><Relationship Id="rId16" Type="http://schemas.openxmlformats.org/officeDocument/2006/relationships/hyperlink" Target="https://tech.ed.gov/files/2017/01/NETP17.pdf" TargetMode="External"/><Relationship Id="rId17" Type="http://schemas.openxmlformats.org/officeDocument/2006/relationships/hyperlink" Target="https://medium.com/@OfficeofEdTech/netp16-setting-a-vision-of-equity-active-use-and-collaborative-leadership-5c116ca276fc" TargetMode="External"/><Relationship Id="rId18" Type="http://schemas.openxmlformats.org/officeDocument/2006/relationships/hyperlink" Target="http://www.nsba.org/services/school-board-leadership-services/key-work/board-and-superintendent-relationships" TargetMode="External"/><Relationship Id="rId19" Type="http://schemas.openxmlformats.org/officeDocument/2006/relationships/hyperlink" Target="https://www.edsurge.com/news/2017-03-02-how-baltimore-cps-used-communications-strategies-to-create-personalized-learning-bu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1860</Words>
  <Characters>10607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13</cp:revision>
  <dcterms:created xsi:type="dcterms:W3CDTF">2017-07-06T16:10:00Z</dcterms:created>
  <dcterms:modified xsi:type="dcterms:W3CDTF">2018-04-24T18:46:00Z</dcterms:modified>
</cp:coreProperties>
</file>